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65" w:rsidRDefault="009B1865" w:rsidP="009B1865">
      <w:pPr>
        <w:pStyle w:val="ConsPlusNormal"/>
        <w:jc w:val="right"/>
        <w:outlineLvl w:val="2"/>
        <w:rPr>
          <w:b/>
          <w:highlight w:val="darkGray"/>
        </w:rPr>
      </w:pPr>
      <w:r w:rsidRPr="00E26E40">
        <w:rPr>
          <w:noProof/>
        </w:rPr>
        <w:drawing>
          <wp:inline distT="0" distB="0" distL="0" distR="0" wp14:anchorId="09C52647" wp14:editId="6B5A245E">
            <wp:extent cx="3496229" cy="523875"/>
            <wp:effectExtent l="0" t="0" r="9525" b="0"/>
            <wp:docPr id="5" name="Рисунок 5" descr="C:\Users\afanaseva\Desktop\самолет-прогресс-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naseva\Desktop\самолет-прогресс-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905" cy="542257"/>
                    </a:xfrm>
                    <a:prstGeom prst="rect">
                      <a:avLst/>
                    </a:prstGeom>
                    <a:noFill/>
                    <a:ln>
                      <a:noFill/>
                    </a:ln>
                  </pic:spPr>
                </pic:pic>
              </a:graphicData>
            </a:graphic>
          </wp:inline>
        </w:drawing>
      </w:r>
    </w:p>
    <w:p w:rsidR="009B1865" w:rsidRPr="001E4FAC" w:rsidRDefault="009B1865" w:rsidP="009B1865">
      <w:pPr>
        <w:pStyle w:val="ConsPlusNormal"/>
        <w:jc w:val="center"/>
        <w:outlineLvl w:val="2"/>
        <w:rPr>
          <w:b/>
        </w:rPr>
      </w:pPr>
    </w:p>
    <w:p w:rsidR="00EE64E5" w:rsidRDefault="00EE64E5" w:rsidP="009B1865">
      <w:pPr>
        <w:pStyle w:val="ConsPlusNormal"/>
        <w:jc w:val="center"/>
        <w:outlineLvl w:val="2"/>
        <w:rPr>
          <w:b/>
          <w:sz w:val="36"/>
          <w:szCs w:val="36"/>
        </w:rPr>
      </w:pPr>
      <w:r>
        <w:rPr>
          <w:b/>
          <w:sz w:val="36"/>
          <w:szCs w:val="36"/>
        </w:rPr>
        <w:t xml:space="preserve">Пояснительная записка к </w:t>
      </w:r>
    </w:p>
    <w:p w:rsidR="00F504A7" w:rsidRDefault="00EE64E5" w:rsidP="009B1865">
      <w:pPr>
        <w:pStyle w:val="ConsPlusNormal"/>
        <w:jc w:val="center"/>
        <w:outlineLvl w:val="2"/>
        <w:rPr>
          <w:b/>
          <w:sz w:val="36"/>
          <w:szCs w:val="36"/>
        </w:rPr>
      </w:pPr>
      <w:r>
        <w:rPr>
          <w:b/>
          <w:sz w:val="36"/>
          <w:szCs w:val="36"/>
        </w:rPr>
        <w:t>р</w:t>
      </w:r>
      <w:r w:rsidR="001E4FAC" w:rsidRPr="00F504A7">
        <w:rPr>
          <w:b/>
          <w:sz w:val="36"/>
          <w:szCs w:val="36"/>
        </w:rPr>
        <w:t>асчет</w:t>
      </w:r>
      <w:r>
        <w:rPr>
          <w:b/>
          <w:sz w:val="36"/>
          <w:szCs w:val="36"/>
        </w:rPr>
        <w:t>у</w:t>
      </w:r>
      <w:r w:rsidR="001E4FAC" w:rsidRPr="00F504A7">
        <w:rPr>
          <w:b/>
          <w:sz w:val="36"/>
          <w:szCs w:val="36"/>
        </w:rPr>
        <w:t xml:space="preserve"> показателей </w:t>
      </w:r>
    </w:p>
    <w:p w:rsidR="009B1865" w:rsidRPr="00F504A7" w:rsidRDefault="001E4FAC" w:rsidP="009B1865">
      <w:pPr>
        <w:pStyle w:val="ConsPlusNormal"/>
        <w:jc w:val="center"/>
        <w:outlineLvl w:val="2"/>
        <w:rPr>
          <w:b/>
          <w:sz w:val="36"/>
          <w:szCs w:val="36"/>
        </w:rPr>
      </w:pPr>
      <w:r w:rsidRPr="00F504A7">
        <w:rPr>
          <w:b/>
          <w:sz w:val="36"/>
          <w:szCs w:val="36"/>
        </w:rPr>
        <w:t>надежности и качества оказываемых услуг</w:t>
      </w:r>
    </w:p>
    <w:p w:rsidR="001E4FAC" w:rsidRDefault="001E4FAC" w:rsidP="009B1865">
      <w:pPr>
        <w:pStyle w:val="ConsPlusNormal"/>
        <w:jc w:val="center"/>
        <w:outlineLvl w:val="2"/>
        <w:rPr>
          <w:b/>
        </w:rPr>
      </w:pPr>
    </w:p>
    <w:p w:rsidR="001E4FAC" w:rsidRDefault="001E4FAC" w:rsidP="009B1865">
      <w:pPr>
        <w:pStyle w:val="ConsPlusNormal"/>
        <w:jc w:val="center"/>
        <w:outlineLvl w:val="2"/>
        <w:rPr>
          <w:b/>
        </w:rPr>
      </w:pPr>
    </w:p>
    <w:tbl>
      <w:tblPr>
        <w:tblW w:w="0" w:type="auto"/>
        <w:tblLook w:val="04A0" w:firstRow="1" w:lastRow="0" w:firstColumn="1" w:lastColumn="0" w:noHBand="0" w:noVBand="1"/>
      </w:tblPr>
      <w:tblGrid>
        <w:gridCol w:w="3681"/>
        <w:gridCol w:w="5664"/>
      </w:tblGrid>
      <w:tr w:rsidR="001E4FAC" w:rsidRPr="001E4FAC" w:rsidTr="00F504A7">
        <w:tc>
          <w:tcPr>
            <w:tcW w:w="3681" w:type="dxa"/>
          </w:tcPr>
          <w:p w:rsidR="001E4FAC" w:rsidRPr="001E4FAC" w:rsidRDefault="001E4FAC" w:rsidP="001E4FAC">
            <w:pPr>
              <w:pStyle w:val="ConsPlusNormal"/>
              <w:spacing w:before="120" w:after="120"/>
              <w:jc w:val="both"/>
            </w:pPr>
            <w:r w:rsidRPr="001E4FAC">
              <w:t>Наимено</w:t>
            </w:r>
            <w:r>
              <w:t>вание организации</w:t>
            </w:r>
          </w:p>
        </w:tc>
        <w:tc>
          <w:tcPr>
            <w:tcW w:w="5664" w:type="dxa"/>
          </w:tcPr>
          <w:p w:rsidR="001E4FAC" w:rsidRPr="001E4FAC" w:rsidRDefault="001E4FAC" w:rsidP="001E4FAC">
            <w:pPr>
              <w:pStyle w:val="ConsPlusNormal"/>
              <w:spacing w:before="120" w:after="120"/>
              <w:jc w:val="both"/>
            </w:pPr>
            <w:r w:rsidRPr="001E4FAC">
              <w:t>Общество с ограниченной ответственностью «Самолет-Прогресс»</w:t>
            </w:r>
          </w:p>
        </w:tc>
      </w:tr>
      <w:tr w:rsidR="001E4FAC" w:rsidRPr="001E4FAC" w:rsidTr="00F504A7">
        <w:tc>
          <w:tcPr>
            <w:tcW w:w="3681" w:type="dxa"/>
          </w:tcPr>
          <w:p w:rsidR="001E4FAC" w:rsidRPr="001E4FAC" w:rsidRDefault="001E4FAC" w:rsidP="001E4FAC">
            <w:pPr>
              <w:pStyle w:val="ConsPlusNormal"/>
              <w:spacing w:before="120" w:after="120"/>
              <w:jc w:val="both"/>
            </w:pPr>
            <w:r w:rsidRPr="001E4FAC">
              <w:t>Сокращенное наименование</w:t>
            </w:r>
          </w:p>
        </w:tc>
        <w:tc>
          <w:tcPr>
            <w:tcW w:w="5664" w:type="dxa"/>
          </w:tcPr>
          <w:p w:rsidR="001E4FAC" w:rsidRPr="001E4FAC" w:rsidRDefault="001E4FAC" w:rsidP="001E4FAC">
            <w:pPr>
              <w:pStyle w:val="ConsPlusNormal"/>
              <w:spacing w:before="120" w:after="120"/>
              <w:jc w:val="both"/>
              <w:rPr>
                <w:b/>
              </w:rPr>
            </w:pPr>
            <w:r w:rsidRPr="001E4FAC">
              <w:rPr>
                <w:b/>
              </w:rPr>
              <w:t>ООО «Самолет-Прогресс»</w:t>
            </w:r>
          </w:p>
        </w:tc>
      </w:tr>
      <w:tr w:rsidR="001E4FAC" w:rsidRPr="001E4FAC" w:rsidTr="00F504A7">
        <w:tc>
          <w:tcPr>
            <w:tcW w:w="3681" w:type="dxa"/>
          </w:tcPr>
          <w:p w:rsidR="001E4FAC" w:rsidRPr="001E4FAC" w:rsidRDefault="001E4FAC" w:rsidP="001E4FAC">
            <w:pPr>
              <w:pStyle w:val="ConsPlusNormal"/>
              <w:spacing w:before="120" w:after="120"/>
              <w:jc w:val="both"/>
            </w:pPr>
            <w:r w:rsidRPr="001E4FAC">
              <w:t>Фактический адрес</w:t>
            </w:r>
          </w:p>
        </w:tc>
        <w:tc>
          <w:tcPr>
            <w:tcW w:w="5664" w:type="dxa"/>
          </w:tcPr>
          <w:p w:rsidR="001E4FAC" w:rsidRPr="001E4FAC" w:rsidRDefault="001E4FAC" w:rsidP="001E4FAC">
            <w:pPr>
              <w:pStyle w:val="ConsPlusNormal"/>
              <w:spacing w:before="120" w:after="120"/>
              <w:jc w:val="both"/>
            </w:pPr>
            <w:r w:rsidRPr="001E4FAC">
              <w:t>121108, г. Москва,</w:t>
            </w:r>
            <w:r w:rsidR="006D1A4B" w:rsidRPr="006D1A4B">
              <w:t xml:space="preserve"> </w:t>
            </w:r>
            <w:r w:rsidRPr="001E4FAC">
              <w:t>ул. Ивана Франко, дом 8.</w:t>
            </w:r>
          </w:p>
        </w:tc>
      </w:tr>
      <w:tr w:rsidR="001E4FAC" w:rsidRPr="001E4FAC" w:rsidTr="00F504A7">
        <w:tc>
          <w:tcPr>
            <w:tcW w:w="3681" w:type="dxa"/>
          </w:tcPr>
          <w:p w:rsidR="001E4FAC" w:rsidRPr="001E4FAC" w:rsidRDefault="001E4FAC" w:rsidP="001E4FAC">
            <w:pPr>
              <w:pStyle w:val="ConsPlusNormal"/>
              <w:spacing w:before="120" w:after="120"/>
              <w:jc w:val="both"/>
            </w:pPr>
            <w:r w:rsidRPr="001E4FAC">
              <w:t>Юридический адрес</w:t>
            </w:r>
          </w:p>
        </w:tc>
        <w:tc>
          <w:tcPr>
            <w:tcW w:w="5664" w:type="dxa"/>
          </w:tcPr>
          <w:p w:rsidR="001E4FAC" w:rsidRPr="001E4FAC" w:rsidRDefault="001E4FAC" w:rsidP="001E4FAC">
            <w:pPr>
              <w:pStyle w:val="ConsPlusNormal"/>
              <w:spacing w:before="120" w:after="120"/>
              <w:jc w:val="both"/>
            </w:pPr>
            <w:r w:rsidRPr="001E4FAC">
              <w:t xml:space="preserve">121108, </w:t>
            </w:r>
            <w:r w:rsidR="006D1A4B" w:rsidRPr="001E4FAC">
              <w:t>г. Москва</w:t>
            </w:r>
            <w:r w:rsidRPr="001E4FAC">
              <w:t>, ул. Ивана Франко, дом 8.</w:t>
            </w:r>
          </w:p>
        </w:tc>
      </w:tr>
      <w:tr w:rsidR="001E4FAC" w:rsidRPr="001E4FAC" w:rsidTr="00F504A7">
        <w:tc>
          <w:tcPr>
            <w:tcW w:w="3681" w:type="dxa"/>
          </w:tcPr>
          <w:p w:rsidR="001E4FAC" w:rsidRPr="001E4FAC" w:rsidRDefault="001E4FAC" w:rsidP="001E4FAC">
            <w:pPr>
              <w:pStyle w:val="ConsPlusNormal"/>
              <w:spacing w:before="120" w:after="120"/>
              <w:jc w:val="both"/>
            </w:pPr>
            <w:r w:rsidRPr="001E4FAC">
              <w:t>Телефон/факс</w:t>
            </w:r>
          </w:p>
        </w:tc>
        <w:tc>
          <w:tcPr>
            <w:tcW w:w="5664" w:type="dxa"/>
          </w:tcPr>
          <w:p w:rsidR="001E4FAC" w:rsidRPr="001E4FAC" w:rsidRDefault="001E4FAC" w:rsidP="001E4FAC">
            <w:pPr>
              <w:pStyle w:val="ConsPlusNormal"/>
              <w:spacing w:before="120" w:after="120"/>
              <w:jc w:val="both"/>
            </w:pPr>
            <w:r w:rsidRPr="001E4FAC">
              <w:t>(495) 967 13 13/ (495) 287 32 30</w:t>
            </w:r>
          </w:p>
        </w:tc>
      </w:tr>
      <w:tr w:rsidR="001E4FAC" w:rsidRPr="001E4FAC" w:rsidTr="00F504A7">
        <w:tc>
          <w:tcPr>
            <w:tcW w:w="3681" w:type="dxa"/>
          </w:tcPr>
          <w:p w:rsidR="001E4FAC" w:rsidRPr="001E4FAC" w:rsidRDefault="001E4FAC" w:rsidP="001E4FAC">
            <w:pPr>
              <w:pStyle w:val="ConsPlusNormal"/>
              <w:spacing w:before="120" w:after="120"/>
              <w:jc w:val="both"/>
            </w:pPr>
            <w:r w:rsidRPr="001E4FAC">
              <w:t>Официальный сайт</w:t>
            </w:r>
          </w:p>
        </w:tc>
        <w:tc>
          <w:tcPr>
            <w:tcW w:w="5664" w:type="dxa"/>
          </w:tcPr>
          <w:p w:rsidR="001E4FAC" w:rsidRPr="001E4FAC" w:rsidRDefault="001E4FAC" w:rsidP="001E4FAC">
            <w:pPr>
              <w:pStyle w:val="ConsPlusNormal"/>
              <w:spacing w:before="120" w:after="120"/>
              <w:jc w:val="both"/>
              <w:rPr>
                <w:b/>
              </w:rPr>
            </w:pPr>
            <w:r w:rsidRPr="001E4FAC">
              <w:rPr>
                <w:b/>
              </w:rPr>
              <w:t>SAMOLETPROGRESS.RU</w:t>
            </w:r>
          </w:p>
        </w:tc>
      </w:tr>
      <w:tr w:rsidR="001E4FAC" w:rsidRPr="001E4FAC" w:rsidTr="00F504A7">
        <w:tc>
          <w:tcPr>
            <w:tcW w:w="3681" w:type="dxa"/>
          </w:tcPr>
          <w:p w:rsidR="001E4FAC" w:rsidRPr="001E4FAC" w:rsidRDefault="001E4FAC" w:rsidP="001E4FAC">
            <w:pPr>
              <w:pStyle w:val="ConsPlusNormal"/>
              <w:spacing w:before="120" w:after="120"/>
              <w:jc w:val="both"/>
            </w:pPr>
            <w:r w:rsidRPr="001E4FAC">
              <w:t>Адрес электронной почты</w:t>
            </w:r>
          </w:p>
        </w:tc>
        <w:tc>
          <w:tcPr>
            <w:tcW w:w="5664" w:type="dxa"/>
          </w:tcPr>
          <w:p w:rsidR="001E4FAC" w:rsidRPr="001E4FAC" w:rsidRDefault="001E4FAC" w:rsidP="001E4FAC">
            <w:pPr>
              <w:pStyle w:val="ConsPlusNormal"/>
              <w:spacing w:before="120" w:after="120"/>
              <w:jc w:val="both"/>
              <w:rPr>
                <w:b/>
              </w:rPr>
            </w:pPr>
            <w:r w:rsidRPr="001E4FAC">
              <w:rPr>
                <w:b/>
              </w:rPr>
              <w:t>Info@samoletprogress.ru</w:t>
            </w:r>
          </w:p>
        </w:tc>
      </w:tr>
      <w:tr w:rsidR="001E4FAC" w:rsidRPr="001E4FAC" w:rsidTr="00F504A7">
        <w:tc>
          <w:tcPr>
            <w:tcW w:w="3681" w:type="dxa"/>
          </w:tcPr>
          <w:p w:rsidR="001E4FAC" w:rsidRPr="001E4FAC" w:rsidRDefault="001E4FAC" w:rsidP="001E4FAC">
            <w:pPr>
              <w:pStyle w:val="ConsPlusNormal"/>
              <w:spacing w:before="120" w:after="120"/>
              <w:jc w:val="both"/>
            </w:pPr>
            <w:r>
              <w:t xml:space="preserve">Руководитель организации </w:t>
            </w:r>
          </w:p>
        </w:tc>
        <w:tc>
          <w:tcPr>
            <w:tcW w:w="5664" w:type="dxa"/>
          </w:tcPr>
          <w:p w:rsidR="001E4FAC" w:rsidRPr="001E4FAC" w:rsidRDefault="001E4FAC" w:rsidP="00E965BB">
            <w:pPr>
              <w:pStyle w:val="ConsPlusNormal"/>
              <w:spacing w:before="120" w:after="120"/>
              <w:jc w:val="both"/>
            </w:pPr>
            <w:r w:rsidRPr="001E4FAC">
              <w:t xml:space="preserve">Генеральный директор </w:t>
            </w:r>
            <w:r w:rsidR="00E965BB">
              <w:rPr>
                <w:b/>
              </w:rPr>
              <w:t>Архипов Олег Николаевич</w:t>
            </w:r>
          </w:p>
        </w:tc>
      </w:tr>
      <w:tr w:rsidR="00F504A7" w:rsidRPr="001E4FAC" w:rsidTr="00F504A7">
        <w:tc>
          <w:tcPr>
            <w:tcW w:w="3681" w:type="dxa"/>
          </w:tcPr>
          <w:p w:rsidR="00F504A7" w:rsidRDefault="00F504A7" w:rsidP="001E4FAC">
            <w:pPr>
              <w:pStyle w:val="ConsPlusNormal"/>
              <w:spacing w:before="120" w:after="120"/>
              <w:jc w:val="both"/>
            </w:pPr>
          </w:p>
        </w:tc>
        <w:tc>
          <w:tcPr>
            <w:tcW w:w="5664" w:type="dxa"/>
          </w:tcPr>
          <w:p w:rsidR="00F504A7" w:rsidRPr="001E4FAC" w:rsidRDefault="00F504A7" w:rsidP="001E4FAC">
            <w:pPr>
              <w:pStyle w:val="ConsPlusNormal"/>
              <w:spacing w:before="120" w:after="120"/>
              <w:jc w:val="both"/>
            </w:pPr>
          </w:p>
        </w:tc>
      </w:tr>
      <w:tr w:rsidR="00F504A7" w:rsidRPr="001E4FAC" w:rsidTr="00F504A7">
        <w:tc>
          <w:tcPr>
            <w:tcW w:w="3681" w:type="dxa"/>
          </w:tcPr>
          <w:p w:rsidR="00F504A7" w:rsidRDefault="00F504A7" w:rsidP="001E4FAC">
            <w:pPr>
              <w:pStyle w:val="ConsPlusNormal"/>
              <w:spacing w:before="120" w:after="120"/>
              <w:jc w:val="both"/>
            </w:pPr>
            <w:r>
              <w:t>Основание для проведения расчета</w:t>
            </w:r>
          </w:p>
        </w:tc>
        <w:tc>
          <w:tcPr>
            <w:tcW w:w="5664" w:type="dxa"/>
          </w:tcPr>
          <w:p w:rsidR="00F504A7" w:rsidRPr="001E4FAC" w:rsidRDefault="00F504A7" w:rsidP="00F504A7">
            <w:pPr>
              <w:pStyle w:val="ConsPlusNormal"/>
              <w:jc w:val="both"/>
            </w:pPr>
            <w:r>
              <w:t>Постановление Правительства РФ от 31.12.2009 №1220 «Об определении применяемых при установлении долгосрочных тарифов показателей надежности и качества поставляемых товаров и оказываемых услуг».</w:t>
            </w:r>
          </w:p>
        </w:tc>
      </w:tr>
    </w:tbl>
    <w:p w:rsidR="001E4FAC" w:rsidRPr="001E4FAC" w:rsidRDefault="001E4FAC" w:rsidP="001E4FAC">
      <w:pPr>
        <w:pStyle w:val="ConsPlusNormal"/>
        <w:ind w:firstLine="540"/>
        <w:jc w:val="both"/>
      </w:pPr>
    </w:p>
    <w:p w:rsidR="00F504A7" w:rsidRPr="00B95378" w:rsidRDefault="00B95378" w:rsidP="00B95378">
      <w:pPr>
        <w:pStyle w:val="ConsPlusNormal"/>
        <w:numPr>
          <w:ilvl w:val="0"/>
          <w:numId w:val="5"/>
        </w:numPr>
        <w:jc w:val="both"/>
        <w:rPr>
          <w:b/>
        </w:rPr>
      </w:pPr>
      <w:r w:rsidRPr="00B95378">
        <w:rPr>
          <w:b/>
        </w:rPr>
        <w:t>Общие положения.</w:t>
      </w:r>
    </w:p>
    <w:p w:rsidR="00F504A7" w:rsidRPr="00F504A7" w:rsidRDefault="00F504A7" w:rsidP="00F504A7">
      <w:pPr>
        <w:pStyle w:val="ConsPlusNormal"/>
        <w:jc w:val="both"/>
        <w:rPr>
          <w:i/>
        </w:rPr>
      </w:pPr>
      <w:r w:rsidRPr="00F504A7">
        <w:rPr>
          <w:i/>
        </w:rPr>
        <w:t>Расчет выполнен в соответствии с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от 29.10.2016 №1256.</w:t>
      </w:r>
    </w:p>
    <w:p w:rsidR="0007147B" w:rsidRDefault="003902F7" w:rsidP="0007147B">
      <w:pPr>
        <w:pStyle w:val="ConsPlusNormal"/>
        <w:ind w:firstLine="708"/>
        <w:jc w:val="both"/>
      </w:pPr>
      <w:r>
        <w:t xml:space="preserve">Для электросетевых организаций показатели надежности и качества услуг определяются в отношении оказываемых электросетевыми организациями услуг по передаче электрической </w:t>
      </w:r>
      <w:r w:rsidR="0007147B">
        <w:t>энергии,</w:t>
      </w:r>
      <w:r>
        <w:t xml:space="preserve"> а также осуществляемого технологического присоединения </w:t>
      </w:r>
      <w:r w:rsidR="0007147B">
        <w:t xml:space="preserve">энергопринимающих устройств потребителей электрической энергии </w:t>
      </w:r>
      <w:r>
        <w:t xml:space="preserve">к </w:t>
      </w:r>
      <w:r w:rsidR="0007147B">
        <w:t xml:space="preserve">электрическим сетям </w:t>
      </w:r>
      <w:r>
        <w:t>соответствующ</w:t>
      </w:r>
      <w:r w:rsidR="0007147B">
        <w:t>ей электросетевой организации.</w:t>
      </w:r>
    </w:p>
    <w:p w:rsidR="0007147B" w:rsidRDefault="0007147B" w:rsidP="008B238F">
      <w:pPr>
        <w:pStyle w:val="ConsPlusNormal"/>
        <w:ind w:firstLine="708"/>
        <w:jc w:val="both"/>
      </w:pPr>
      <w:r w:rsidRPr="008B238F">
        <w:rPr>
          <w:b/>
        </w:rPr>
        <w:t>Уровень надёжности и качества услуг</w:t>
      </w:r>
      <w:r>
        <w:t xml:space="preserve"> определяется как обобщенный интегрированный показатель и состоит из показателя уровня надёжности оказываемых услуг и показателя уровня качества оказываемых услуг ТСО. </w:t>
      </w:r>
    </w:p>
    <w:p w:rsidR="00B95378" w:rsidRPr="00C26856" w:rsidRDefault="0007147B" w:rsidP="00B95378">
      <w:pPr>
        <w:pStyle w:val="ConsPlusNormal"/>
        <w:numPr>
          <w:ilvl w:val="0"/>
          <w:numId w:val="5"/>
        </w:numPr>
        <w:jc w:val="both"/>
      </w:pPr>
      <w:r w:rsidRPr="00B95378">
        <w:rPr>
          <w:b/>
        </w:rPr>
        <w:t>Показатель уровня надёжности оказываемых услуг</w:t>
      </w:r>
      <w:r w:rsidR="00B95378">
        <w:rPr>
          <w:b/>
        </w:rPr>
        <w:t>.</w:t>
      </w:r>
    </w:p>
    <w:p w:rsidR="00C26856" w:rsidRPr="00C26856" w:rsidRDefault="00C26856" w:rsidP="00D60D96">
      <w:pPr>
        <w:pStyle w:val="ConsPlusNormal"/>
        <w:numPr>
          <w:ilvl w:val="1"/>
          <w:numId w:val="5"/>
        </w:numPr>
        <w:spacing w:before="120"/>
        <w:ind w:left="896" w:hanging="357"/>
        <w:jc w:val="both"/>
      </w:pPr>
      <w:r w:rsidRPr="00C26856">
        <w:t>Уровень надежности оказываемых услуг определяется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w:t>
      </w:r>
    </w:p>
    <w:p w:rsidR="00C26856" w:rsidRDefault="00C26856" w:rsidP="00C26856">
      <w:pPr>
        <w:pStyle w:val="ConsPlusNormal"/>
        <w:ind w:firstLine="539"/>
        <w:jc w:val="both"/>
      </w:pPr>
      <w:r>
        <w:lastRenderedPageBreak/>
        <w:t>Для целей расчета значений показателей уровня надежности оказываемых услуг, под прекращением передачи электрической энергии потребителям услуг сетевой организации понимается:</w:t>
      </w:r>
    </w:p>
    <w:p w:rsidR="00C26856" w:rsidRDefault="00C26856" w:rsidP="00C26856">
      <w:pPr>
        <w:pStyle w:val="ConsPlusNormal"/>
        <w:numPr>
          <w:ilvl w:val="0"/>
          <w:numId w:val="6"/>
        </w:numPr>
        <w:jc w:val="both"/>
      </w:pPr>
      <w:r>
        <w:t>в отношении точек поставки потребителей услуг сетевой организации, являющихся сетевыми организациями: возникновение технологического нарушения на объектах территориальной сетевой организации, повлекшее невозможность обеспечить передачу электрической энергии в соответствующей точки поставки такому потребителю услуг сетевой организации;</w:t>
      </w:r>
    </w:p>
    <w:p w:rsidR="00C26856" w:rsidRDefault="00C26856" w:rsidP="00C26856">
      <w:pPr>
        <w:pStyle w:val="ConsPlusNormal"/>
        <w:numPr>
          <w:ilvl w:val="0"/>
          <w:numId w:val="6"/>
        </w:numPr>
        <w:jc w:val="both"/>
      </w:pPr>
      <w:r>
        <w:t>в отношении точек поставки иных потребителей услуг сетевой организации: возникновение технологического нарушения на объектах территориальной сетевой организации, сопровождаемых полным (частичным) ограничением режима потребления таких потребителей услуг сетевой организации.</w:t>
      </w:r>
    </w:p>
    <w:p w:rsidR="00C26856" w:rsidRDefault="00C26856" w:rsidP="00C26856">
      <w:pPr>
        <w:pStyle w:val="ConsPlusNormal"/>
        <w:ind w:firstLine="539"/>
        <w:jc w:val="both"/>
      </w:pPr>
      <w:r>
        <w:t>Продолжительность прекращения передачи электрической энергии потребителям услуг сетевой организации в отношении точки поставки определяется интервалом времени от момента возникновения прекращения передачи электрической энергии в отношении точки поставки до момента устранения технологического нарушения на объектах данной территориальной сетевой организации, но не превышающим интервал времени до момента восстановления режима потребления электрической энергии потребителей услуг сетевой организации (ликвидация полного (частичного) ограничением режима потребления).</w:t>
      </w:r>
    </w:p>
    <w:p w:rsidR="00C26856" w:rsidRDefault="00C26856" w:rsidP="00C26856">
      <w:pPr>
        <w:pStyle w:val="ConsPlusNormal"/>
        <w:ind w:firstLine="539"/>
        <w:jc w:val="both"/>
      </w:pPr>
      <w:r>
        <w:t xml:space="preserve">При расчете значений показателей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сетевых организаций, в сетях организаций, осуществляющих деятельность по производству и (или) передаче электрической энергии (мощности), в сетях потребителей услуг, а также по инициативе системного оператора и (или) при осуществлении в пределах охранных зон объектов электросетевого хозяйства согласованных сетевой организацией действий в порядке, предусмотренном </w:t>
      </w:r>
      <w:hyperlink r:id="rId9" w:history="1">
        <w:r w:rsidRPr="00C26856">
          <w:t>Правилами</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 N 160 (Собрание законодательства Российской Федерации, 2009, N 10, ст. 1220; 2013, N 24, ст. 2999), равно как и в результате обстоятельств непреодолимой силы либо сверхрасчетных природно-климатических нагрузок (условий) или вследствие иных обстоятельств, исключающих ответственность сетевой организации, за перерывы (нарушения) электроснабжения.</w:t>
      </w:r>
    </w:p>
    <w:p w:rsidR="00C26856" w:rsidRDefault="00C26856" w:rsidP="00C26856">
      <w:pPr>
        <w:pStyle w:val="ConsPlusNormal"/>
        <w:ind w:firstLine="539"/>
        <w:jc w:val="both"/>
      </w:pPr>
      <w:r>
        <w:t xml:space="preserve">Для целей использования при государственном регулировании тарифов на услуги по передаче электрической энергии уровень надежности оказываемых услуг определяется показателем средней продолжительности прекращения передачи электрической энергии на точку поставки, определяемым в соответствии с </w:t>
      </w:r>
      <w:hyperlink w:anchor="P96" w:history="1">
        <w:r w:rsidRPr="00C26856">
          <w:t>формулой (1)</w:t>
        </w:r>
      </w:hyperlink>
      <w:r>
        <w:t xml:space="preserve">, и показателем средней частоты прекращения передачи электрической энергии на точку поставки, определяемым в соответствии с </w:t>
      </w:r>
      <w:hyperlink w:anchor="P105" w:history="1">
        <w:r w:rsidRPr="00C26856">
          <w:t>формулой (2)</w:t>
        </w:r>
      </w:hyperlink>
      <w:r>
        <w:t>.</w:t>
      </w:r>
    </w:p>
    <w:p w:rsidR="00C26856" w:rsidRDefault="00C26856" w:rsidP="00D60D96">
      <w:pPr>
        <w:pStyle w:val="ConsPlusNormal"/>
        <w:numPr>
          <w:ilvl w:val="1"/>
          <w:numId w:val="5"/>
        </w:numPr>
        <w:spacing w:before="120"/>
        <w:ind w:left="896" w:hanging="357"/>
        <w:jc w:val="both"/>
      </w:pPr>
      <w:r>
        <w:t>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(Пsaidi) определяется по формуле:</w:t>
      </w:r>
    </w:p>
    <w:p w:rsidR="00C26856" w:rsidRDefault="00C26856" w:rsidP="00C26856">
      <w:pPr>
        <w:pStyle w:val="ConsPlusNormal"/>
        <w:jc w:val="center"/>
      </w:pPr>
      <w:bookmarkStart w:id="0" w:name="P96"/>
      <w:bookmarkEnd w:id="0"/>
      <w:r>
        <w:rPr>
          <w:noProof/>
          <w:position w:val="-30"/>
        </w:rPr>
        <w:drawing>
          <wp:inline distT="0" distB="0" distL="0" distR="0">
            <wp:extent cx="1552575" cy="571500"/>
            <wp:effectExtent l="0" t="0" r="0" b="0"/>
            <wp:docPr id="2" name="Рисунок 2" descr="base_1_220786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0786_7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r>
        <w:t>, (1) где:</w:t>
      </w:r>
    </w:p>
    <w:p w:rsidR="00C26856" w:rsidRDefault="00C26856" w:rsidP="00C26856">
      <w:pPr>
        <w:pStyle w:val="ConsPlusNormal"/>
      </w:pPr>
      <w:r>
        <w:t>T</w:t>
      </w:r>
      <w:r>
        <w:rPr>
          <w:vertAlign w:val="subscript"/>
        </w:rPr>
        <w:t>j</w:t>
      </w:r>
      <w:r>
        <w:t xml:space="preserve"> - продолжительность j-го прекращения передачи электрической энергии в отношении точек поставки потребителей услуг сетевой организации в рамках технологического нарушения, час;</w:t>
      </w:r>
    </w:p>
    <w:p w:rsidR="00C26856" w:rsidRDefault="00C26856" w:rsidP="00C26856">
      <w:pPr>
        <w:pStyle w:val="ConsPlusNormal"/>
      </w:pPr>
      <w:r>
        <w:t>N</w:t>
      </w:r>
      <w:r>
        <w:rPr>
          <w:vertAlign w:val="subscript"/>
        </w:rPr>
        <w:t>j</w:t>
      </w:r>
      <w: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в рамках технологического нарушения, шт.;</w:t>
      </w:r>
    </w:p>
    <w:p w:rsidR="00C26856" w:rsidRDefault="00C26856" w:rsidP="00C26856">
      <w:pPr>
        <w:pStyle w:val="ConsPlusNormal"/>
      </w:pPr>
      <w:r>
        <w:t>N</w:t>
      </w:r>
      <w:r>
        <w:rPr>
          <w:vertAlign w:val="subscript"/>
        </w:rPr>
        <w:t>t</w:t>
      </w:r>
      <w:r>
        <w:t xml:space="preserve"> - максимальное за год число точек поставки потребителей услуг сетевой организации за t-й расчетный период регулирования, шт.;</w:t>
      </w:r>
    </w:p>
    <w:p w:rsidR="00D60D96" w:rsidRDefault="00C26856" w:rsidP="00D60D96">
      <w:pPr>
        <w:pStyle w:val="ConsPlusNormal"/>
      </w:pPr>
      <w:r>
        <w:t>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rsidR="00C26856" w:rsidRDefault="00C26856" w:rsidP="00564432">
      <w:pPr>
        <w:pStyle w:val="ConsPlusNormal"/>
        <w:numPr>
          <w:ilvl w:val="1"/>
          <w:numId w:val="5"/>
        </w:numPr>
        <w:spacing w:before="120"/>
        <w:ind w:left="896" w:hanging="357"/>
        <w:jc w:val="both"/>
      </w:pPr>
      <w:r>
        <w:t>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 определяется по формуле:</w:t>
      </w:r>
    </w:p>
    <w:p w:rsidR="00C26856" w:rsidRPr="00DD31CB" w:rsidRDefault="00C26856" w:rsidP="00C26856">
      <w:pPr>
        <w:pStyle w:val="ConsPlusNormal"/>
        <w:jc w:val="center"/>
        <w:rPr>
          <w:b/>
          <w:sz w:val="28"/>
          <w:szCs w:val="28"/>
        </w:rPr>
      </w:pPr>
      <w:bookmarkStart w:id="1" w:name="P105"/>
      <w:bookmarkEnd w:id="1"/>
      <w:r w:rsidRPr="00DD31CB">
        <w:rPr>
          <w:b/>
          <w:noProof/>
          <w:position w:val="-30"/>
          <w:sz w:val="28"/>
          <w:szCs w:val="28"/>
        </w:rPr>
        <w:drawing>
          <wp:inline distT="0" distB="0" distL="0" distR="0">
            <wp:extent cx="1219200" cy="571500"/>
            <wp:effectExtent l="0" t="0" r="0" b="0"/>
            <wp:docPr id="1" name="Рисунок 1" descr="base_1_220786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20786_7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r w:rsidRPr="00DD31CB">
        <w:rPr>
          <w:b/>
          <w:sz w:val="28"/>
          <w:szCs w:val="28"/>
        </w:rPr>
        <w:t>, (2)</w:t>
      </w:r>
    </w:p>
    <w:p w:rsidR="00C26856" w:rsidRDefault="00D60D96" w:rsidP="00D60D96">
      <w:pPr>
        <w:pStyle w:val="ConsPlusNormal"/>
        <w:numPr>
          <w:ilvl w:val="1"/>
          <w:numId w:val="5"/>
        </w:numPr>
        <w:spacing w:before="120"/>
        <w:ind w:left="896" w:hanging="357"/>
        <w:jc w:val="both"/>
      </w:pPr>
      <w:r>
        <w:t xml:space="preserve"> </w:t>
      </w:r>
      <w:r w:rsidR="00C26856">
        <w:t xml:space="preserve">Учет данных первичной информации по прекращениям передачи электрической энергии, произошедшим на объектах сетевых организаций, </w:t>
      </w:r>
      <w:r>
        <w:t xml:space="preserve"> </w:t>
      </w:r>
      <w:r w:rsidR="00C26856">
        <w:t xml:space="preserve">производится путем заполнения территориальной сетевой организацией </w:t>
      </w:r>
      <w:hyperlink w:anchor="P3004" w:history="1">
        <w:r w:rsidR="00C26856" w:rsidRPr="00D60D96">
          <w:t>формы 8.1</w:t>
        </w:r>
      </w:hyperlink>
      <w:r w:rsidR="00C26856">
        <w:t xml:space="preserve"> приложения N 8 </w:t>
      </w:r>
      <w:r w:rsidR="00C9273E">
        <w:t>Методических указаний, утвержденных приказом Министерства энергетики РФ от 29.11.2016 №1256,</w:t>
      </w:r>
      <w:r w:rsidR="00C26856">
        <w:t xml:space="preserve"> ежемесячно при сборе отчетных данных о произошедших технологических нарушениях на ее объектах.</w:t>
      </w:r>
      <w:r w:rsidR="00C9273E">
        <w:t xml:space="preserve"> </w:t>
      </w:r>
    </w:p>
    <w:p w:rsidR="00D60D96" w:rsidRDefault="00D60D96" w:rsidP="00AE31CA">
      <w:pPr>
        <w:pStyle w:val="ConsPlusNormal"/>
        <w:numPr>
          <w:ilvl w:val="1"/>
          <w:numId w:val="5"/>
        </w:numPr>
        <w:spacing w:before="120"/>
        <w:ind w:left="896" w:hanging="357"/>
        <w:jc w:val="both"/>
      </w:pPr>
      <w:r>
        <w:t xml:space="preserve"> </w:t>
      </w:r>
      <w:r w:rsidR="00C26856">
        <w:t xml:space="preserve">Расчет показателей уровня надежности оказываемых услуг осуществляется территориальной сетевой организацией по </w:t>
      </w:r>
      <w:hyperlink w:anchor="P727" w:history="1">
        <w:r w:rsidR="00C26856" w:rsidRPr="00C9273E">
          <w:t>форме 1.3</w:t>
        </w:r>
      </w:hyperlink>
      <w:r w:rsidR="00C26856">
        <w:t xml:space="preserve"> приложения N 1 Методически</w:t>
      </w:r>
      <w:r>
        <w:t>х</w:t>
      </w:r>
      <w:r w:rsidR="00C26856">
        <w:t xml:space="preserve"> указани</w:t>
      </w:r>
      <w:r>
        <w:t xml:space="preserve">й, утвержденных приказом Министерства энергетики РФ от 29.11.2016 №1256.  </w:t>
      </w:r>
    </w:p>
    <w:p w:rsidR="00D60D96" w:rsidRDefault="00D60D96" w:rsidP="00B95378">
      <w:pPr>
        <w:pStyle w:val="ConsPlusNormal"/>
        <w:jc w:val="both"/>
      </w:pPr>
    </w:p>
    <w:p w:rsidR="00B95378" w:rsidRDefault="0007147B" w:rsidP="00B95378">
      <w:pPr>
        <w:pStyle w:val="ConsPlusNormal"/>
        <w:numPr>
          <w:ilvl w:val="0"/>
          <w:numId w:val="5"/>
        </w:numPr>
        <w:jc w:val="both"/>
        <w:rPr>
          <w:b/>
        </w:rPr>
      </w:pPr>
      <w:r w:rsidRPr="00B95378">
        <w:rPr>
          <w:b/>
        </w:rPr>
        <w:t>Показатель уровня качества оказываемых услуг</w:t>
      </w:r>
      <w:r w:rsidR="00B95378" w:rsidRPr="00B95378">
        <w:rPr>
          <w:b/>
        </w:rPr>
        <w:t>.</w:t>
      </w:r>
    </w:p>
    <w:p w:rsidR="00DD31CB" w:rsidRDefault="00DD31CB" w:rsidP="00DD31CB">
      <w:pPr>
        <w:pStyle w:val="ConsPlusNormal"/>
        <w:numPr>
          <w:ilvl w:val="1"/>
          <w:numId w:val="5"/>
        </w:numPr>
        <w:jc w:val="both"/>
      </w:pPr>
      <w:r>
        <w:t>Для целей использования при государственном регулировании тарифов на услуги по передаче электрической энергии уровень качества оказываемых услуг организации определяется показателем уровня качества осуществляемого технологического присоединения к сети.</w:t>
      </w:r>
    </w:p>
    <w:p w:rsidR="00DD31CB" w:rsidRDefault="00DD31CB" w:rsidP="00DD31CB">
      <w:pPr>
        <w:pStyle w:val="ConsPlusNormal"/>
        <w:spacing w:before="220"/>
        <w:ind w:left="540"/>
        <w:jc w:val="both"/>
      </w:pPr>
      <w:r>
        <w:t>Показатель уровня качества осуществляемого технологического присоединения к сети (П</w:t>
      </w:r>
      <w:r>
        <w:rPr>
          <w:vertAlign w:val="subscript"/>
        </w:rPr>
        <w:t>тпр</w:t>
      </w:r>
      <w:r>
        <w:t>) определяется по формуле:</w:t>
      </w:r>
      <w:bookmarkStart w:id="2" w:name="P304"/>
      <w:bookmarkEnd w:id="2"/>
    </w:p>
    <w:p w:rsidR="00DD31CB" w:rsidRPr="00DD31CB" w:rsidRDefault="00DD31CB" w:rsidP="00DD31CB">
      <w:pPr>
        <w:pStyle w:val="ConsPlusNormal"/>
        <w:spacing w:before="220"/>
        <w:ind w:left="540"/>
        <w:jc w:val="center"/>
        <w:rPr>
          <w:b/>
          <w:sz w:val="28"/>
          <w:szCs w:val="28"/>
        </w:rPr>
      </w:pPr>
      <w:r w:rsidRPr="00DD31CB">
        <w:rPr>
          <w:b/>
          <w:sz w:val="28"/>
          <w:szCs w:val="28"/>
        </w:rPr>
        <w:t>П</w:t>
      </w:r>
      <w:r w:rsidRPr="00DD31CB">
        <w:rPr>
          <w:b/>
          <w:sz w:val="28"/>
          <w:szCs w:val="28"/>
          <w:vertAlign w:val="subscript"/>
        </w:rPr>
        <w:t>тпр</w:t>
      </w:r>
      <w:r w:rsidRPr="00DD31CB">
        <w:rPr>
          <w:b/>
          <w:sz w:val="28"/>
          <w:szCs w:val="28"/>
        </w:rPr>
        <w:t xml:space="preserve"> = 0.5 x П</w:t>
      </w:r>
      <w:r w:rsidRPr="00DD31CB">
        <w:rPr>
          <w:b/>
          <w:sz w:val="28"/>
          <w:szCs w:val="28"/>
          <w:vertAlign w:val="subscript"/>
        </w:rPr>
        <w:t>заяв_тпр</w:t>
      </w:r>
      <w:r w:rsidRPr="00DD31CB">
        <w:rPr>
          <w:b/>
          <w:sz w:val="28"/>
          <w:szCs w:val="28"/>
        </w:rPr>
        <w:t xml:space="preserve"> + 0.5 x П</w:t>
      </w:r>
      <w:r w:rsidRPr="00DD31CB">
        <w:rPr>
          <w:b/>
          <w:sz w:val="28"/>
          <w:szCs w:val="28"/>
          <w:vertAlign w:val="subscript"/>
        </w:rPr>
        <w:t>нс_тпр</w:t>
      </w:r>
      <w:r w:rsidRPr="00DD31CB">
        <w:rPr>
          <w:b/>
          <w:sz w:val="28"/>
          <w:szCs w:val="28"/>
        </w:rPr>
        <w:t>, (3)</w:t>
      </w:r>
    </w:p>
    <w:p w:rsidR="00DD31CB" w:rsidRDefault="00DD31CB" w:rsidP="00DD31CB">
      <w:pPr>
        <w:pStyle w:val="ConsPlusNormal"/>
        <w:ind w:left="900"/>
        <w:jc w:val="both"/>
      </w:pPr>
      <w:r>
        <w:t>где:</w:t>
      </w:r>
    </w:p>
    <w:p w:rsidR="00DD31CB" w:rsidRDefault="00DD31CB" w:rsidP="00DD31CB">
      <w:pPr>
        <w:pStyle w:val="ConsPlusNormal"/>
        <w:ind w:left="900"/>
        <w:jc w:val="both"/>
      </w:pPr>
      <w:r>
        <w:t>П</w:t>
      </w:r>
      <w:r>
        <w:rPr>
          <w:vertAlign w:val="subscript"/>
        </w:rPr>
        <w:t>заяв_тпр</w:t>
      </w:r>
      <w: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rsidR="00DD31CB" w:rsidRDefault="00DD31CB" w:rsidP="00DD31CB">
      <w:pPr>
        <w:pStyle w:val="ConsPlusNormal"/>
        <w:ind w:left="900"/>
        <w:jc w:val="both"/>
      </w:pPr>
      <w:r>
        <w:t>П</w:t>
      </w:r>
      <w:r>
        <w:rPr>
          <w:vertAlign w:val="subscript"/>
        </w:rPr>
        <w:t>нс_тпр</w:t>
      </w:r>
      <w:r>
        <w:t xml:space="preserve"> - показатель качества исполнения договоров об осуществлении технологического присоединения заявителей к сети;</w:t>
      </w:r>
    </w:p>
    <w:p w:rsidR="00DD31CB" w:rsidRDefault="00DD31CB" w:rsidP="00697D85">
      <w:pPr>
        <w:pStyle w:val="ConsPlusNormal"/>
        <w:numPr>
          <w:ilvl w:val="2"/>
          <w:numId w:val="5"/>
        </w:numPr>
        <w:spacing w:before="220"/>
        <w:jc w:val="both"/>
      </w:pPr>
      <w:r>
        <w:t>Показатель качества рассмотрения заявок на технологическое присоединение к сети (П</w:t>
      </w:r>
      <w:r w:rsidRPr="00DD31CB">
        <w:rPr>
          <w:vertAlign w:val="subscript"/>
        </w:rPr>
        <w:t>заяв_тпр</w:t>
      </w:r>
      <w:r>
        <w:t>) определяется по формуле:</w:t>
      </w:r>
    </w:p>
    <w:p w:rsidR="00DD31CB" w:rsidRDefault="00DD31CB" w:rsidP="00DD31CB">
      <w:pPr>
        <w:pStyle w:val="ConsPlusNormal"/>
        <w:spacing w:before="220"/>
        <w:ind w:left="1260"/>
        <w:jc w:val="both"/>
      </w:pPr>
      <w:r>
        <w:rPr>
          <w:noProof/>
          <w:position w:val="-16"/>
        </w:rPr>
        <w:drawing>
          <wp:inline distT="0" distB="0" distL="0" distR="0">
            <wp:extent cx="3228975" cy="304800"/>
            <wp:effectExtent l="0" t="0" r="9525" b="0"/>
            <wp:docPr id="13" name="Рисунок 13" descr="base_1_220786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20786_8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304800"/>
                    </a:xfrm>
                    <a:prstGeom prst="rect">
                      <a:avLst/>
                    </a:prstGeom>
                    <a:noFill/>
                    <a:ln>
                      <a:noFill/>
                    </a:ln>
                  </pic:spPr>
                </pic:pic>
              </a:graphicData>
            </a:graphic>
          </wp:inline>
        </w:drawing>
      </w:r>
      <w:r>
        <w:t>, (4)</w:t>
      </w:r>
    </w:p>
    <w:p w:rsidR="00DD31CB" w:rsidRDefault="00DD31CB" w:rsidP="00DD31CB">
      <w:pPr>
        <w:pStyle w:val="ConsPlusNormal"/>
        <w:ind w:left="900"/>
        <w:jc w:val="both"/>
      </w:pPr>
      <w:r>
        <w:t>где:</w:t>
      </w:r>
    </w:p>
    <w:p w:rsidR="00DD31CB" w:rsidRDefault="00DD31CB" w:rsidP="00DD31CB">
      <w:pPr>
        <w:pStyle w:val="ConsPlusNormal"/>
        <w:jc w:val="both"/>
      </w:pPr>
      <w:r>
        <w:t>N</w:t>
      </w:r>
      <w:r>
        <w:rPr>
          <w:vertAlign w:val="subscript"/>
        </w:rPr>
        <w:t>заяв_тпр</w:t>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rsidR="00DD31CB" w:rsidRDefault="00DD31CB" w:rsidP="00DD31CB">
      <w:pPr>
        <w:pStyle w:val="ConsPlusNormal"/>
        <w:jc w:val="both"/>
      </w:pPr>
      <w:r w:rsidRPr="00DD31CB">
        <w:rPr>
          <w:noProof/>
        </w:rPr>
        <w:drawing>
          <wp:inline distT="0" distB="0" distL="0" distR="0">
            <wp:extent cx="542925" cy="276225"/>
            <wp:effectExtent l="0" t="0" r="9525" b="9525"/>
            <wp:docPr id="8" name="Рисунок 8" descr="base_1_220786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0786_8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rsidR="00DD31CB" w:rsidRDefault="00DD31CB" w:rsidP="00DD31CB">
      <w:pPr>
        <w:pStyle w:val="ConsPlusNormal"/>
        <w:jc w:val="both"/>
      </w:pPr>
      <w:r>
        <w:t>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rsidR="00DD31CB" w:rsidRDefault="00DD31CB" w:rsidP="00DD31CB">
      <w:pPr>
        <w:pStyle w:val="ConsPlusNormal"/>
        <w:jc w:val="both"/>
      </w:pPr>
      <w: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sidRPr="00DD31CB">
        <w:t>зав_тпр</w:t>
      </w:r>
      <w:r>
        <w:t xml:space="preserve"> = 1).</w:t>
      </w:r>
    </w:p>
    <w:p w:rsidR="00DD31CB" w:rsidRDefault="00DD31CB" w:rsidP="00DD0D06">
      <w:pPr>
        <w:pStyle w:val="ConsPlusNormal"/>
        <w:numPr>
          <w:ilvl w:val="2"/>
          <w:numId w:val="5"/>
        </w:numPr>
        <w:spacing w:before="120"/>
        <w:ind w:left="1259"/>
        <w:jc w:val="both"/>
      </w:pPr>
      <w:r>
        <w:t>Показатель качества исполнения договоров об осуществлении технологического присоединения заявителей к сети (П</w:t>
      </w:r>
      <w:r w:rsidRPr="00DD31CB">
        <w:rPr>
          <w:vertAlign w:val="subscript"/>
        </w:rPr>
        <w:t>нс_тпр</w:t>
      </w:r>
      <w:r>
        <w:t>) определяется по формуле:</w:t>
      </w:r>
    </w:p>
    <w:p w:rsidR="00DD31CB" w:rsidRDefault="00DD31CB" w:rsidP="00DD31CB">
      <w:pPr>
        <w:pStyle w:val="ConsPlusNormal"/>
        <w:ind w:left="540"/>
        <w:jc w:val="center"/>
      </w:pPr>
      <w:r>
        <w:rPr>
          <w:noProof/>
          <w:position w:val="-16"/>
        </w:rPr>
        <w:drawing>
          <wp:inline distT="0" distB="0" distL="0" distR="0">
            <wp:extent cx="2781300" cy="304800"/>
            <wp:effectExtent l="0" t="0" r="0" b="0"/>
            <wp:docPr id="7" name="Рисунок 7" descr="base_1_220786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20786_8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304800"/>
                    </a:xfrm>
                    <a:prstGeom prst="rect">
                      <a:avLst/>
                    </a:prstGeom>
                    <a:noFill/>
                    <a:ln>
                      <a:noFill/>
                    </a:ln>
                  </pic:spPr>
                </pic:pic>
              </a:graphicData>
            </a:graphic>
          </wp:inline>
        </w:drawing>
      </w:r>
      <w:r>
        <w:t>, (14)</w:t>
      </w:r>
    </w:p>
    <w:p w:rsidR="00DD31CB" w:rsidRDefault="00DD31CB" w:rsidP="00DD31CB">
      <w:pPr>
        <w:pStyle w:val="ConsPlusNormal"/>
        <w:ind w:left="900"/>
        <w:jc w:val="both"/>
      </w:pPr>
      <w:r>
        <w:t xml:space="preserve">где: </w:t>
      </w:r>
    </w:p>
    <w:p w:rsidR="00DD31CB" w:rsidRDefault="00DD31CB" w:rsidP="00DD31CB">
      <w:pPr>
        <w:pStyle w:val="ConsPlusNormal"/>
        <w:jc w:val="both"/>
      </w:pPr>
      <w:r>
        <w:t>N</w:t>
      </w:r>
      <w:r w:rsidRPr="00DD31CB">
        <w:t>сд_тпр</w:t>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 </w:t>
      </w:r>
    </w:p>
    <w:p w:rsidR="00DD31CB" w:rsidRDefault="00DD31CB" w:rsidP="00DD31CB">
      <w:pPr>
        <w:pStyle w:val="ConsPlusNormal"/>
        <w:jc w:val="both"/>
      </w:pPr>
      <w:r w:rsidRPr="00DD31CB">
        <w:rPr>
          <w:noProof/>
        </w:rPr>
        <w:drawing>
          <wp:inline distT="0" distB="0" distL="0" distR="0">
            <wp:extent cx="476250" cy="276225"/>
            <wp:effectExtent l="0" t="0" r="0" b="9525"/>
            <wp:docPr id="6" name="Рисунок 6" descr="base_1_220786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20786_8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w:t>
      </w:r>
    </w:p>
    <w:p w:rsidR="00DD0D06" w:rsidRDefault="00DD31CB" w:rsidP="00DD0D06">
      <w:pPr>
        <w:pStyle w:val="ConsPlusNormal"/>
        <w:spacing w:before="120"/>
        <w:jc w:val="both"/>
      </w:pPr>
      <w:r>
        <w:t>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равным единице (П</w:t>
      </w:r>
      <w:r w:rsidRPr="00DD0D06">
        <w:t>нс_тпр</w:t>
      </w:r>
      <w:r>
        <w:t xml:space="preserve"> = 1).</w:t>
      </w:r>
      <w:r w:rsidR="00DD0D06">
        <w:t xml:space="preserve"> </w:t>
      </w:r>
    </w:p>
    <w:p w:rsidR="00DD0D06" w:rsidRDefault="00DD31CB" w:rsidP="00DD0D06">
      <w:pPr>
        <w:pStyle w:val="ConsPlusNormal"/>
        <w:spacing w:before="120"/>
        <w:jc w:val="both"/>
      </w:pPr>
      <w:r>
        <w:t>Значение показателя уровня качества осуществляемого технологического присоединения, равное единице (П</w:t>
      </w:r>
      <w:r w:rsidRPr="00DD0D06">
        <w:t>тпр</w:t>
      </w:r>
      <w:r>
        <w:t xml:space="preserve"> = 1), является неулучшаемым значением.</w:t>
      </w:r>
      <w:r w:rsidR="00DD0D06">
        <w:t xml:space="preserve"> </w:t>
      </w:r>
    </w:p>
    <w:p w:rsidR="00DD31CB" w:rsidRDefault="00DD31CB" w:rsidP="00DD0D06">
      <w:pPr>
        <w:pStyle w:val="ConsPlusNormal"/>
        <w:numPr>
          <w:ilvl w:val="2"/>
          <w:numId w:val="5"/>
        </w:numPr>
        <w:spacing w:before="120"/>
        <w:ind w:left="1259"/>
        <w:jc w:val="both"/>
      </w:pPr>
      <w:r>
        <w:t xml:space="preserve">Отчетные данные, используемые при расчете фактических значений показателя качества рассмотрения заявок на технологическое присоединение к сети, указываются по </w:t>
      </w:r>
      <w:hyperlink w:anchor="P1806" w:history="1">
        <w:r w:rsidRPr="00DD0D06">
          <w:t>форме 3.1</w:t>
        </w:r>
      </w:hyperlink>
      <w:r>
        <w:t xml:space="preserve"> приложения N 3 </w:t>
      </w:r>
      <w:r w:rsidR="00DD0D06">
        <w:t xml:space="preserve">Методических указаний, утвержденных приказом Министерства энергетики РФ от 29.11.2016 №1256.  </w:t>
      </w:r>
      <w:r>
        <w:t>.</w:t>
      </w:r>
    </w:p>
    <w:p w:rsidR="00DD31CB" w:rsidRDefault="00DD31CB" w:rsidP="00DD0D06">
      <w:pPr>
        <w:pStyle w:val="ConsPlusNormal"/>
        <w:spacing w:before="120"/>
        <w:ind w:left="1259"/>
        <w:jc w:val="both"/>
      </w:pPr>
      <w:r>
        <w:t xml:space="preserve">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по </w:t>
      </w:r>
      <w:hyperlink w:anchor="P1831" w:history="1">
        <w:r w:rsidRPr="00DD0D06">
          <w:t>форме 3.2</w:t>
        </w:r>
      </w:hyperlink>
      <w:r>
        <w:t xml:space="preserve"> приложения N 3 </w:t>
      </w:r>
      <w:r w:rsidR="00DD0D06">
        <w:t xml:space="preserve">Методических указаний, утвержденных приказом Министерства энергетики РФ от 29.11.2016 №1256.  </w:t>
      </w:r>
    </w:p>
    <w:p w:rsidR="00DD31CB" w:rsidRDefault="00DD31CB" w:rsidP="00DD31CB">
      <w:pPr>
        <w:pStyle w:val="ConsPlusNormal"/>
        <w:jc w:val="both"/>
        <w:rPr>
          <w:b/>
        </w:rPr>
      </w:pPr>
    </w:p>
    <w:p w:rsidR="00E3613E" w:rsidRDefault="00E3613E" w:rsidP="00797F12">
      <w:pPr>
        <w:pStyle w:val="ConsPlusNormal"/>
        <w:numPr>
          <w:ilvl w:val="0"/>
          <w:numId w:val="5"/>
        </w:numPr>
        <w:jc w:val="both"/>
        <w:rPr>
          <w:b/>
        </w:rPr>
      </w:pPr>
      <w:r w:rsidRPr="00E3613E">
        <w:rPr>
          <w:b/>
        </w:rPr>
        <w:t>Порядок определения плановых и фактических значений показателей надежности и качества услуг</w:t>
      </w:r>
      <w:r>
        <w:rPr>
          <w:b/>
        </w:rPr>
        <w:t>.</w:t>
      </w:r>
    </w:p>
    <w:p w:rsidR="00892143" w:rsidRDefault="00892143" w:rsidP="00892143">
      <w:pPr>
        <w:pStyle w:val="ConsPlusNormal"/>
        <w:numPr>
          <w:ilvl w:val="1"/>
          <w:numId w:val="5"/>
        </w:numPr>
        <w:spacing w:before="120"/>
        <w:ind w:left="896" w:hanging="357"/>
        <w:jc w:val="both"/>
      </w:pPr>
      <w:r>
        <w:t>Плановые значения показателей уровня надежности оказываемых услуг устанавливаются регулирующими органами на каждый расчетный период регулирования в пределах долгосрочного периода регулирования для каждой территориальной сетевой организации исходя из:</w:t>
      </w:r>
    </w:p>
    <w:p w:rsidR="00892143" w:rsidRDefault="00892143" w:rsidP="00892143">
      <w:pPr>
        <w:pStyle w:val="ConsPlusNormal"/>
        <w:numPr>
          <w:ilvl w:val="0"/>
          <w:numId w:val="7"/>
        </w:numPr>
        <w:jc w:val="both"/>
      </w:pPr>
      <w:r>
        <w:t>фактических значений показателей уровня надежности оказываемых услуг, за предыдущие отчетные расчетные периоды регулирования, суммарно не более трех, по которым имеются данные на момент установления плановых значений показателей уровня надежности оказываемых услуг на следующий долгосрочный период регулирования;</w:t>
      </w:r>
    </w:p>
    <w:p w:rsidR="00892143" w:rsidRDefault="00892143" w:rsidP="00892143">
      <w:pPr>
        <w:pStyle w:val="ConsPlusNormal"/>
        <w:numPr>
          <w:ilvl w:val="0"/>
          <w:numId w:val="7"/>
        </w:numPr>
        <w:jc w:val="both"/>
      </w:pPr>
      <w:r>
        <w:t>принадлежности территориальной сетевой организации к группе территориальных сетевых организаций, имеющих сопоставимые друг с другом экономические и (или) технические характеристики и (или) условия деятельности;</w:t>
      </w:r>
    </w:p>
    <w:p w:rsidR="00892143" w:rsidRDefault="00892143" w:rsidP="00892143">
      <w:pPr>
        <w:pStyle w:val="ConsPlusNormal"/>
        <w:numPr>
          <w:ilvl w:val="0"/>
          <w:numId w:val="7"/>
        </w:numPr>
        <w:jc w:val="both"/>
      </w:pPr>
      <w:r>
        <w:t>динамики улучшения фактических значений показателей уровня надежности, определенной исходя из базовых значений показателей надежности для группы территориальных сетевых организаций.</w:t>
      </w:r>
      <w:bookmarkStart w:id="3" w:name="P410"/>
      <w:bookmarkEnd w:id="3"/>
    </w:p>
    <w:p w:rsidR="00892143" w:rsidRDefault="00892143" w:rsidP="00892143">
      <w:pPr>
        <w:pStyle w:val="ConsPlusNormal"/>
        <w:numPr>
          <w:ilvl w:val="1"/>
          <w:numId w:val="5"/>
        </w:numPr>
        <w:spacing w:before="120"/>
        <w:ind w:left="896" w:hanging="357"/>
        <w:jc w:val="both"/>
      </w:pPr>
      <w:r>
        <w:t xml:space="preserve">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anchor="P96" w:history="1">
        <w:r w:rsidRPr="00892143">
          <w:t>формулам (1)</w:t>
        </w:r>
      </w:hyperlink>
      <w:r>
        <w:t xml:space="preserve">, </w:t>
      </w:r>
      <w:hyperlink w:anchor="P105" w:history="1">
        <w:r w:rsidRPr="00892143">
          <w:t>(2)</w:t>
        </w:r>
      </w:hyperlink>
      <w:r w:rsidRPr="00892143">
        <w:t xml:space="preserve"> </w:t>
      </w:r>
      <w:r>
        <w:t>, плановые значения (</w:t>
      </w:r>
      <w:r w:rsidRPr="00892143">
        <w:rPr>
          <w:noProof/>
        </w:rPr>
        <w:drawing>
          <wp:inline distT="0" distB="0" distL="0" distR="0">
            <wp:extent cx="295275" cy="276225"/>
            <wp:effectExtent l="0" t="0" r="9525" b="9525"/>
            <wp:docPr id="28" name="Рисунок 28" descr="base_1_220786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20786_1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t>) определяются исходя из:</w:t>
      </w:r>
      <w:bookmarkStart w:id="4" w:name="P411"/>
      <w:bookmarkEnd w:id="4"/>
    </w:p>
    <w:p w:rsidR="00892143" w:rsidRDefault="00892143" w:rsidP="00892143">
      <w:pPr>
        <w:pStyle w:val="ConsPlusNormal"/>
        <w:numPr>
          <w:ilvl w:val="0"/>
          <w:numId w:val="7"/>
        </w:numPr>
        <w:ind w:hanging="357"/>
        <w:jc w:val="both"/>
      </w:pPr>
      <w:r>
        <w:t>минимального значения (</w:t>
      </w:r>
      <w:r w:rsidRPr="00892143">
        <w:rPr>
          <w:noProof/>
        </w:rPr>
        <w:drawing>
          <wp:inline distT="0" distB="0" distL="0" distR="0">
            <wp:extent cx="295275" cy="276225"/>
            <wp:effectExtent l="0" t="0" r="9525" b="9525"/>
            <wp:docPr id="27" name="Рисунок 27" descr="base_1_220786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20786_10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t>) из фактического значения показателей уровня надежности оказываемых услуг за период, предшествующий текущему, и среднего значения фактических значений показателей уровня надежности оказываемых услуг за периоды, предшествующие текущему, но не более трех расчетных периодов, имеющихся на момент установления плановых значений;</w:t>
      </w:r>
    </w:p>
    <w:p w:rsidR="00892143" w:rsidRDefault="00892143" w:rsidP="00892143">
      <w:pPr>
        <w:pStyle w:val="ConsPlusNormal"/>
        <w:numPr>
          <w:ilvl w:val="0"/>
          <w:numId w:val="7"/>
        </w:numPr>
        <w:ind w:hanging="357"/>
        <w:jc w:val="both"/>
      </w:pPr>
      <w:r>
        <w:t>единоразового улучшения минимального значения (</w:t>
      </w:r>
      <w:r w:rsidRPr="00892143">
        <w:rPr>
          <w:noProof/>
        </w:rPr>
        <w:drawing>
          <wp:inline distT="0" distB="0" distL="0" distR="0">
            <wp:extent cx="295275" cy="276225"/>
            <wp:effectExtent l="0" t="0" r="9525" b="9525"/>
            <wp:docPr id="26" name="Рисунок 26" descr="base_1_220786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220786_10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t xml:space="preserve">) с применением темпа улучшения показателей надежности, определяемого в соответствии с </w:t>
      </w:r>
      <w:hyperlink w:anchor="P425" w:history="1">
        <w:r w:rsidRPr="00892143">
          <w:t>пунктом 4.2.4</w:t>
        </w:r>
      </w:hyperlink>
      <w:r>
        <w:t xml:space="preserve"> настоящих Методических указаний.</w:t>
      </w:r>
    </w:p>
    <w:p w:rsidR="00892143" w:rsidRDefault="00401FB7" w:rsidP="00401FB7">
      <w:pPr>
        <w:pStyle w:val="ConsPlusNormal"/>
        <w:spacing w:before="220"/>
        <w:ind w:firstLine="540"/>
        <w:jc w:val="both"/>
      </w:pPr>
      <w:bookmarkStart w:id="5" w:name="P413"/>
      <w:bookmarkStart w:id="6" w:name="P425"/>
      <w:bookmarkStart w:id="7" w:name="P458"/>
      <w:bookmarkEnd w:id="5"/>
      <w:bookmarkEnd w:id="6"/>
      <w:bookmarkEnd w:id="7"/>
      <w:r>
        <w:t xml:space="preserve">4.3. </w:t>
      </w:r>
      <w:r w:rsidR="00892143">
        <w:t xml:space="preserve">Территориальные сетевые организации направляют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w:t>
      </w:r>
      <w:hyperlink w:anchor="P896" w:history="1">
        <w:r w:rsidR="00892143" w:rsidRPr="00401FB7">
          <w:t>форме 1.7</w:t>
        </w:r>
      </w:hyperlink>
      <w:r w:rsidR="00892143">
        <w:t xml:space="preserve"> приложения N 1 </w:t>
      </w:r>
      <w:r>
        <w:t>Методических указаний, утвержденных приказом Министерства энергетики РФ от 29.11.2016 №1256</w:t>
      </w:r>
      <w:r w:rsidR="00892143">
        <w:t xml:space="preserve">, данные об экономических и технических характеристиках и (или) условиях деятельности территориальных сетевых организаций по </w:t>
      </w:r>
      <w:hyperlink w:anchor="P999" w:history="1">
        <w:r w:rsidR="00892143" w:rsidRPr="00401FB7">
          <w:t>форме 1.9</w:t>
        </w:r>
      </w:hyperlink>
      <w:r w:rsidR="00892143">
        <w:t xml:space="preserve">, а также данные, используемые при расчете фактических значений показателей надежности и при расчете индикативных показателей уровня надежности, в соответствии с </w:t>
      </w:r>
      <w:hyperlink w:anchor="P3004" w:history="1">
        <w:r w:rsidR="00892143" w:rsidRPr="00401FB7">
          <w:t>формами 8.1</w:t>
        </w:r>
      </w:hyperlink>
      <w:r w:rsidR="00892143">
        <w:t xml:space="preserve"> и </w:t>
      </w:r>
      <w:hyperlink w:anchor="P3476" w:history="1">
        <w:r w:rsidR="00892143" w:rsidRPr="00401FB7">
          <w:t>8.3</w:t>
        </w:r>
      </w:hyperlink>
      <w:r w:rsidR="00892143">
        <w:t xml:space="preserve"> приложения N 8 </w:t>
      </w:r>
      <w:r>
        <w:t xml:space="preserve">Методических указаний, утвержденных приказом Министерства энергетики РФ от 29.11.2016 №1256 </w:t>
      </w:r>
      <w:r w:rsidR="00892143">
        <w:t xml:space="preserve">(в ред. </w:t>
      </w:r>
      <w:hyperlink r:id="rId18" w:history="1">
        <w:r w:rsidR="00892143" w:rsidRPr="00401FB7">
          <w:t>Приказа</w:t>
        </w:r>
      </w:hyperlink>
      <w:r w:rsidR="00892143">
        <w:t xml:space="preserve"> Минэнерго России от 21.06.2017 N 544)</w:t>
      </w:r>
      <w:r>
        <w:t>.</w:t>
      </w:r>
    </w:p>
    <w:p w:rsidR="00892143" w:rsidRDefault="00401FB7" w:rsidP="00892143">
      <w:pPr>
        <w:pStyle w:val="ConsPlusNormal"/>
        <w:spacing w:before="220"/>
        <w:ind w:firstLine="540"/>
        <w:jc w:val="both"/>
      </w:pPr>
      <w:r>
        <w:t xml:space="preserve">4.4. </w:t>
      </w:r>
      <w:r w:rsidR="00892143">
        <w:t>Плановое значение показателя уровня надежности оказываемых услуг считается достигнутым территориальной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коэффициентами (1 + K</w:t>
      </w:r>
      <w:r w:rsidR="00892143" w:rsidRPr="00401FB7">
        <w:t>m</w:t>
      </w:r>
      <w:r w:rsidR="00892143">
        <w:t>) и (1 - K1</w:t>
      </w:r>
      <w:r w:rsidR="00892143" w:rsidRPr="00401FB7">
        <w:t>m</w:t>
      </w:r>
      <w:r w:rsidR="00892143">
        <w:t>):</w:t>
      </w:r>
    </w:p>
    <w:p w:rsidR="00892143" w:rsidRDefault="00892143" w:rsidP="00892143">
      <w:pPr>
        <w:pStyle w:val="ConsPlusNormal"/>
        <w:jc w:val="both"/>
      </w:pPr>
    </w:p>
    <w:p w:rsidR="00892143" w:rsidRDefault="00892143" w:rsidP="00892143">
      <w:pPr>
        <w:pStyle w:val="ConsPlusNormal"/>
        <w:jc w:val="center"/>
      </w:pPr>
      <w:r>
        <w:t>П</w:t>
      </w:r>
      <w:r>
        <w:rPr>
          <w:vertAlign w:val="superscript"/>
        </w:rPr>
        <w:t>пл</w:t>
      </w:r>
      <w:r>
        <w:rPr>
          <w:vertAlign w:val="subscript"/>
        </w:rPr>
        <w:t>t.saidi</w:t>
      </w:r>
      <w:r>
        <w:t xml:space="preserve"> x (1 - K1</w:t>
      </w:r>
      <w:r>
        <w:rPr>
          <w:vertAlign w:val="subscript"/>
        </w:rPr>
        <w:t>m</w:t>
      </w:r>
      <w:r>
        <w:t>) &lt; П</w:t>
      </w:r>
      <w:r>
        <w:rPr>
          <w:vertAlign w:val="subscript"/>
        </w:rPr>
        <w:t>t.saidi</w:t>
      </w:r>
      <w:r>
        <w:t xml:space="preserve"> &lt; П</w:t>
      </w:r>
      <w:r>
        <w:rPr>
          <w:vertAlign w:val="superscript"/>
        </w:rPr>
        <w:t>пл</w:t>
      </w:r>
      <w:r>
        <w:rPr>
          <w:vertAlign w:val="subscript"/>
        </w:rPr>
        <w:t>t.saidi</w:t>
      </w:r>
      <w:r>
        <w:t xml:space="preserve"> x (1 + K</w:t>
      </w:r>
      <w:r>
        <w:rPr>
          <w:vertAlign w:val="subscript"/>
        </w:rPr>
        <w:t>m</w:t>
      </w:r>
      <w:r>
        <w:t>),</w:t>
      </w:r>
    </w:p>
    <w:p w:rsidR="00892143" w:rsidRDefault="00892143" w:rsidP="00892143">
      <w:pPr>
        <w:pStyle w:val="ConsPlusNormal"/>
        <w:jc w:val="both"/>
      </w:pPr>
    </w:p>
    <w:p w:rsidR="00892143" w:rsidRDefault="00892143" w:rsidP="00892143">
      <w:pPr>
        <w:pStyle w:val="ConsPlusNormal"/>
        <w:jc w:val="center"/>
      </w:pPr>
      <w:r>
        <w:t>П</w:t>
      </w:r>
      <w:r>
        <w:rPr>
          <w:vertAlign w:val="superscript"/>
        </w:rPr>
        <w:t>пл</w:t>
      </w:r>
      <w:r>
        <w:rPr>
          <w:vertAlign w:val="subscript"/>
        </w:rPr>
        <w:t>t.saifi</w:t>
      </w:r>
      <w:r>
        <w:t xml:space="preserve"> x (1 - K1</w:t>
      </w:r>
      <w:r>
        <w:rPr>
          <w:vertAlign w:val="subscript"/>
        </w:rPr>
        <w:t>m</w:t>
      </w:r>
      <w:r>
        <w:t>) &lt; П</w:t>
      </w:r>
      <w:r>
        <w:rPr>
          <w:vertAlign w:val="subscript"/>
        </w:rPr>
        <w:t>t.saifi</w:t>
      </w:r>
      <w:r>
        <w:t xml:space="preserve"> &lt; П</w:t>
      </w:r>
      <w:r>
        <w:rPr>
          <w:vertAlign w:val="superscript"/>
        </w:rPr>
        <w:t>пл</w:t>
      </w:r>
      <w:r>
        <w:rPr>
          <w:vertAlign w:val="subscript"/>
        </w:rPr>
        <w:t>t.saifi</w:t>
      </w:r>
      <w:r>
        <w:t xml:space="preserve"> x (1 + K</w:t>
      </w:r>
      <w:r>
        <w:rPr>
          <w:vertAlign w:val="subscript"/>
        </w:rPr>
        <w:t>m</w:t>
      </w:r>
      <w:r>
        <w:t>),</w:t>
      </w:r>
    </w:p>
    <w:p w:rsidR="00892143" w:rsidRDefault="00892143" w:rsidP="00892143">
      <w:pPr>
        <w:pStyle w:val="ConsPlusNormal"/>
        <w:jc w:val="both"/>
      </w:pPr>
    </w:p>
    <w:p w:rsidR="00892143" w:rsidRDefault="00892143" w:rsidP="00892143">
      <w:pPr>
        <w:pStyle w:val="ConsPlusNormal"/>
        <w:ind w:firstLine="540"/>
        <w:jc w:val="both"/>
      </w:pPr>
      <w:r>
        <w:t>где П</w:t>
      </w:r>
      <w:r>
        <w:rPr>
          <w:vertAlign w:val="subscript"/>
        </w:rPr>
        <w:t>t.saidi</w:t>
      </w:r>
      <w:r>
        <w:t>, П</w:t>
      </w:r>
      <w:r>
        <w:rPr>
          <w:vertAlign w:val="subscript"/>
        </w:rPr>
        <w:t>t.saifi</w:t>
      </w:r>
      <w:r>
        <w:t xml:space="preserve"> - фактические значения соответствующих показателей за соответствующий расчетный период регулирования.</w:t>
      </w:r>
    </w:p>
    <w:p w:rsidR="00892143" w:rsidRDefault="00892143" w:rsidP="00892143">
      <w:pPr>
        <w:pStyle w:val="ConsPlusNormal"/>
        <w:spacing w:before="220"/>
        <w:ind w:firstLine="540"/>
        <w:jc w:val="both"/>
      </w:pPr>
      <w:r>
        <w:t>где K</w:t>
      </w:r>
      <w:r>
        <w:rPr>
          <w:vertAlign w:val="subscript"/>
        </w:rPr>
        <w:t>m</w:t>
      </w:r>
      <w:r>
        <w:t>, K1</w:t>
      </w:r>
      <w:r>
        <w:rPr>
          <w:vertAlign w:val="subscript"/>
        </w:rPr>
        <w:t>m</w:t>
      </w:r>
      <w:r>
        <w:t xml:space="preserve"> - коэффициенты допустимого отклонения фактических значений показателей надежности от плановых для m-й </w:t>
      </w:r>
      <w:r w:rsidR="000D6289">
        <w:t>группы территориальных сетевых организаций,</w:t>
      </w:r>
      <w:r>
        <w:t xml:space="preserve"> установленные уполномоченным федеральным органом исполнительной власти Российской Федерации в сфере электроэнергетики в соответствии с требованиями нормативных правовых актов Российской Федерации.</w:t>
      </w:r>
    </w:p>
    <w:p w:rsidR="00892143" w:rsidRDefault="00892143" w:rsidP="00892143">
      <w:pPr>
        <w:pStyle w:val="ConsPlusNormal"/>
        <w:spacing w:before="220"/>
        <w:ind w:firstLine="540"/>
        <w:jc w:val="both"/>
      </w:pPr>
      <w:r>
        <w:t>4.</w:t>
      </w:r>
      <w:r w:rsidR="00401FB7">
        <w:t>5</w:t>
      </w:r>
      <w:r>
        <w:t>. Плановое значение показателя уровня надежности оказываемых услуг считается достигнутым территориальной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K1</w:t>
      </w:r>
      <w:r>
        <w:rPr>
          <w:vertAlign w:val="subscript"/>
        </w:rPr>
        <w:t>m</w:t>
      </w:r>
      <w:r>
        <w:t>,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rsidR="00892143" w:rsidRDefault="00892143" w:rsidP="00892143">
      <w:pPr>
        <w:pStyle w:val="ConsPlusNormal"/>
        <w:jc w:val="both"/>
      </w:pPr>
    </w:p>
    <w:p w:rsidR="00892143" w:rsidRDefault="00892143" w:rsidP="00892143">
      <w:pPr>
        <w:pStyle w:val="ConsPlusNormal"/>
        <w:jc w:val="center"/>
      </w:pPr>
      <w:r>
        <w:t>П</w:t>
      </w:r>
      <w:r>
        <w:rPr>
          <w:vertAlign w:val="subscript"/>
        </w:rPr>
        <w:t>t.saidi</w:t>
      </w:r>
      <w:r>
        <w:t xml:space="preserve"> </w:t>
      </w:r>
      <w:r>
        <w:rPr>
          <w:noProof/>
          <w:position w:val="-4"/>
        </w:rPr>
        <w:drawing>
          <wp:inline distT="0" distB="0" distL="0" distR="0">
            <wp:extent cx="142875" cy="171450"/>
            <wp:effectExtent l="0" t="0" r="9525" b="0"/>
            <wp:docPr id="15" name="Рисунок 15" descr="base_1_220786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220786_11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t xml:space="preserve"> П</w:t>
      </w:r>
      <w:r>
        <w:rPr>
          <w:vertAlign w:val="superscript"/>
        </w:rPr>
        <w:t>пл</w:t>
      </w:r>
      <w:r>
        <w:rPr>
          <w:vertAlign w:val="subscript"/>
        </w:rPr>
        <w:t>t.saidi</w:t>
      </w:r>
      <w:r>
        <w:t xml:space="preserve"> x (1 - K1</w:t>
      </w:r>
      <w:r>
        <w:rPr>
          <w:vertAlign w:val="subscript"/>
        </w:rPr>
        <w:t>m</w:t>
      </w:r>
      <w:r>
        <w:t>),</w:t>
      </w:r>
    </w:p>
    <w:p w:rsidR="00892143" w:rsidRDefault="00892143" w:rsidP="00892143">
      <w:pPr>
        <w:pStyle w:val="ConsPlusNormal"/>
        <w:jc w:val="both"/>
      </w:pPr>
    </w:p>
    <w:p w:rsidR="00892143" w:rsidRDefault="00892143" w:rsidP="00892143">
      <w:pPr>
        <w:pStyle w:val="ConsPlusNormal"/>
        <w:jc w:val="center"/>
      </w:pPr>
      <w:r>
        <w:t>П</w:t>
      </w:r>
      <w:r>
        <w:rPr>
          <w:vertAlign w:val="subscript"/>
        </w:rPr>
        <w:t>t.saifi</w:t>
      </w:r>
      <w:r>
        <w:t xml:space="preserve"> </w:t>
      </w:r>
      <w:r>
        <w:rPr>
          <w:noProof/>
          <w:position w:val="-4"/>
        </w:rPr>
        <w:drawing>
          <wp:inline distT="0" distB="0" distL="0" distR="0">
            <wp:extent cx="142875" cy="171450"/>
            <wp:effectExtent l="0" t="0" r="9525" b="0"/>
            <wp:docPr id="14" name="Рисунок 14" descr="base_1_220786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0786_11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t xml:space="preserve"> П</w:t>
      </w:r>
      <w:r>
        <w:rPr>
          <w:vertAlign w:val="superscript"/>
        </w:rPr>
        <w:t>пл</w:t>
      </w:r>
      <w:r>
        <w:rPr>
          <w:vertAlign w:val="subscript"/>
        </w:rPr>
        <w:t>t.saifi</w:t>
      </w:r>
      <w:r>
        <w:t xml:space="preserve"> x (1 - K1</w:t>
      </w:r>
      <w:r>
        <w:rPr>
          <w:vertAlign w:val="subscript"/>
        </w:rPr>
        <w:t>m</w:t>
      </w:r>
      <w:r>
        <w:t>),</w:t>
      </w:r>
    </w:p>
    <w:p w:rsidR="00892143" w:rsidRDefault="00892143" w:rsidP="00892143">
      <w:pPr>
        <w:pStyle w:val="ConsPlusNormal"/>
        <w:jc w:val="both"/>
      </w:pPr>
    </w:p>
    <w:p w:rsidR="00892143" w:rsidRDefault="00892143" w:rsidP="00892143">
      <w:pPr>
        <w:pStyle w:val="ConsPlusNormal"/>
        <w:ind w:firstLine="540"/>
        <w:jc w:val="both"/>
      </w:pPr>
      <w:r>
        <w:t>где П</w:t>
      </w:r>
      <w:r>
        <w:rPr>
          <w:vertAlign w:val="subscript"/>
        </w:rPr>
        <w:t>t.saidi</w:t>
      </w:r>
      <w:r>
        <w:t>, П</w:t>
      </w:r>
      <w:r>
        <w:rPr>
          <w:vertAlign w:val="subscript"/>
        </w:rPr>
        <w:t>t.saifi</w:t>
      </w:r>
      <w:r>
        <w:t xml:space="preserve"> - фактические значения соответствующих показателей за соответствующий расчетный период регулирования.</w:t>
      </w:r>
    </w:p>
    <w:p w:rsidR="000B05FE" w:rsidRDefault="000B05FE" w:rsidP="000B05FE">
      <w:pPr>
        <w:pStyle w:val="ConsPlusNormal"/>
        <w:jc w:val="both"/>
      </w:pPr>
    </w:p>
    <w:p w:rsidR="00B7499A" w:rsidRPr="000B05FE" w:rsidRDefault="00B7499A" w:rsidP="000B05FE">
      <w:pPr>
        <w:pStyle w:val="ConsPlusNormal"/>
        <w:numPr>
          <w:ilvl w:val="0"/>
          <w:numId w:val="5"/>
        </w:numPr>
        <w:jc w:val="both"/>
        <w:rPr>
          <w:b/>
        </w:rPr>
      </w:pPr>
      <w:r w:rsidRPr="000B05FE">
        <w:rPr>
          <w:b/>
        </w:rPr>
        <w:t>Порядок расчета обобщенного показателя уровня надежности и качества оказываемых услуг</w:t>
      </w:r>
    </w:p>
    <w:p w:rsidR="000B05FE" w:rsidRDefault="00B7499A" w:rsidP="000D6289">
      <w:pPr>
        <w:pStyle w:val="ConsPlusNormal"/>
        <w:ind w:firstLine="539"/>
        <w:jc w:val="both"/>
      </w:pPr>
      <w:r>
        <w:t>Обобщенный показатель уровня надежности и качества оказываемых услуг (</w:t>
      </w:r>
      <w:r w:rsidRPr="00454B4C">
        <w:rPr>
          <w:b/>
          <w:sz w:val="28"/>
          <w:szCs w:val="28"/>
        </w:rPr>
        <w:t>K</w:t>
      </w:r>
      <w:r w:rsidRPr="00454B4C">
        <w:rPr>
          <w:b/>
          <w:sz w:val="28"/>
          <w:szCs w:val="28"/>
          <w:vertAlign w:val="subscript"/>
        </w:rPr>
        <w:t>об</w:t>
      </w:r>
      <w:r>
        <w:t>) рассчитывается на основании сопоставления фактических значений показателей надежности и качества услуг с их плановыми значениями и учитывает результаты достижения плановых значений показателей с учетом соответствующих коэффициентов значимости для данной сетевой организации.</w:t>
      </w:r>
    </w:p>
    <w:p w:rsidR="000D6289" w:rsidRPr="000D6289" w:rsidRDefault="000D6289" w:rsidP="000D6289">
      <w:pPr>
        <w:widowControl w:val="0"/>
        <w:autoSpaceDE w:val="0"/>
        <w:autoSpaceDN w:val="0"/>
        <w:spacing w:after="0" w:line="240" w:lineRule="auto"/>
        <w:ind w:left="0" w:firstLine="539"/>
        <w:rPr>
          <w:rFonts w:ascii="Calibri" w:hAnsi="Calibri" w:cs="Calibri"/>
          <w:color w:val="auto"/>
          <w:sz w:val="22"/>
          <w:szCs w:val="20"/>
        </w:rPr>
      </w:pPr>
      <w:r w:rsidRPr="000D6289">
        <w:rPr>
          <w:rFonts w:ascii="Calibri" w:hAnsi="Calibri" w:cs="Calibri"/>
          <w:color w:val="auto"/>
          <w:sz w:val="22"/>
          <w:szCs w:val="20"/>
        </w:rPr>
        <w:t>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2018 года, рассчитывается по формуле:</w:t>
      </w:r>
    </w:p>
    <w:p w:rsidR="000D6289" w:rsidRPr="000D6289" w:rsidRDefault="000D6289" w:rsidP="000D6289">
      <w:pPr>
        <w:widowControl w:val="0"/>
        <w:autoSpaceDE w:val="0"/>
        <w:autoSpaceDN w:val="0"/>
        <w:spacing w:after="0" w:line="240" w:lineRule="auto"/>
        <w:ind w:left="0" w:firstLine="0"/>
        <w:rPr>
          <w:rFonts w:ascii="Calibri" w:hAnsi="Calibri" w:cs="Calibri"/>
          <w:color w:val="auto"/>
          <w:sz w:val="22"/>
          <w:szCs w:val="20"/>
        </w:rPr>
      </w:pPr>
    </w:p>
    <w:p w:rsidR="000D6289" w:rsidRPr="000D6289" w:rsidRDefault="000D6289" w:rsidP="000D6289">
      <w:pPr>
        <w:widowControl w:val="0"/>
        <w:autoSpaceDE w:val="0"/>
        <w:autoSpaceDN w:val="0"/>
        <w:spacing w:after="0" w:line="240" w:lineRule="auto"/>
        <w:ind w:left="0" w:firstLine="0"/>
        <w:jc w:val="center"/>
        <w:rPr>
          <w:rFonts w:ascii="Calibri" w:hAnsi="Calibri" w:cs="Calibri"/>
          <w:color w:val="auto"/>
          <w:sz w:val="22"/>
          <w:szCs w:val="20"/>
        </w:rPr>
      </w:pPr>
      <w:r w:rsidRPr="000D6289">
        <w:rPr>
          <w:rFonts w:ascii="Calibri" w:hAnsi="Calibri" w:cs="Calibri"/>
          <w:noProof/>
          <w:color w:val="auto"/>
          <w:position w:val="-12"/>
          <w:sz w:val="22"/>
          <w:szCs w:val="20"/>
        </w:rPr>
        <w:drawing>
          <wp:inline distT="0" distB="0" distL="0" distR="0">
            <wp:extent cx="3448050" cy="247650"/>
            <wp:effectExtent l="0" t="0" r="0" b="0"/>
            <wp:docPr id="37" name="Рисунок 37" descr="base_1_220786_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20786_13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8050" cy="247650"/>
                    </a:xfrm>
                    <a:prstGeom prst="rect">
                      <a:avLst/>
                    </a:prstGeom>
                    <a:noFill/>
                    <a:ln>
                      <a:noFill/>
                    </a:ln>
                  </pic:spPr>
                </pic:pic>
              </a:graphicData>
            </a:graphic>
          </wp:inline>
        </w:drawing>
      </w:r>
      <w:r w:rsidRPr="000D6289">
        <w:rPr>
          <w:rFonts w:ascii="Calibri" w:hAnsi="Calibri" w:cs="Calibri"/>
          <w:color w:val="auto"/>
          <w:sz w:val="22"/>
          <w:szCs w:val="20"/>
        </w:rPr>
        <w:t>, (22)</w:t>
      </w:r>
    </w:p>
    <w:p w:rsidR="000D6289" w:rsidRPr="000D6289" w:rsidRDefault="000D6289" w:rsidP="000D6289">
      <w:pPr>
        <w:widowControl w:val="0"/>
        <w:autoSpaceDE w:val="0"/>
        <w:autoSpaceDN w:val="0"/>
        <w:spacing w:after="0" w:line="240" w:lineRule="auto"/>
        <w:ind w:left="0" w:firstLine="0"/>
        <w:rPr>
          <w:rFonts w:ascii="Calibri" w:hAnsi="Calibri" w:cs="Calibri"/>
          <w:color w:val="auto"/>
          <w:sz w:val="22"/>
          <w:szCs w:val="20"/>
        </w:rPr>
      </w:pPr>
    </w:p>
    <w:p w:rsidR="000D6289" w:rsidRP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color w:val="auto"/>
          <w:sz w:val="22"/>
          <w:szCs w:val="20"/>
        </w:rPr>
        <w:t>где:</w:t>
      </w:r>
    </w:p>
    <w:p w:rsidR="000D6289" w:rsidRP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noProof/>
          <w:color w:val="auto"/>
          <w:position w:val="-6"/>
          <w:sz w:val="22"/>
          <w:szCs w:val="20"/>
        </w:rPr>
        <w:drawing>
          <wp:inline distT="0" distB="0" distL="0" distR="0">
            <wp:extent cx="209550" cy="190500"/>
            <wp:effectExtent l="0" t="0" r="0" b="0"/>
            <wp:docPr id="36" name="Рисунок 36" descr="base_1_220786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220786_13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0D6289">
        <w:rPr>
          <w:rFonts w:ascii="Calibri" w:hAnsi="Calibri" w:cs="Calibri"/>
          <w:color w:val="auto"/>
          <w:sz w:val="22"/>
          <w:szCs w:val="20"/>
        </w:rPr>
        <w:t xml:space="preserve"> и </w:t>
      </w:r>
      <w:r w:rsidRPr="000D6289">
        <w:rPr>
          <w:rFonts w:ascii="Calibri" w:hAnsi="Calibri" w:cs="Calibri"/>
          <w:noProof/>
          <w:color w:val="auto"/>
          <w:position w:val="-6"/>
          <w:sz w:val="22"/>
          <w:szCs w:val="20"/>
        </w:rPr>
        <w:drawing>
          <wp:inline distT="0" distB="0" distL="0" distR="0">
            <wp:extent cx="219075" cy="190500"/>
            <wp:effectExtent l="0" t="0" r="9525" b="0"/>
            <wp:docPr id="35" name="Рисунок 35" descr="base_1_220786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220786_13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0D6289">
        <w:rPr>
          <w:rFonts w:ascii="Calibri" w:hAnsi="Calibri" w:cs="Calibri"/>
          <w:color w:val="auto"/>
          <w:sz w:val="22"/>
          <w:szCs w:val="20"/>
        </w:rPr>
        <w:t xml:space="preserve">, </w:t>
      </w:r>
      <w:r w:rsidRPr="000D6289">
        <w:rPr>
          <w:rFonts w:ascii="Calibri" w:hAnsi="Calibri" w:cs="Calibri"/>
          <w:noProof/>
          <w:color w:val="auto"/>
          <w:position w:val="-10"/>
          <w:sz w:val="22"/>
          <w:szCs w:val="20"/>
        </w:rPr>
        <w:drawing>
          <wp:inline distT="0" distB="0" distL="0" distR="0">
            <wp:extent cx="209550" cy="219075"/>
            <wp:effectExtent l="0" t="0" r="0" b="9525"/>
            <wp:docPr id="34" name="Рисунок 34" descr="base_1_220786_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220786_13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0D6289">
        <w:rPr>
          <w:rFonts w:ascii="Calibri" w:hAnsi="Calibri" w:cs="Calibri"/>
          <w:color w:val="auto"/>
          <w:sz w:val="22"/>
          <w:szCs w:val="20"/>
        </w:rPr>
        <w:t xml:space="preserve"> и </w:t>
      </w:r>
      <w:r w:rsidRPr="000D6289">
        <w:rPr>
          <w:rFonts w:ascii="Calibri" w:hAnsi="Calibri" w:cs="Calibri"/>
          <w:noProof/>
          <w:color w:val="auto"/>
          <w:position w:val="-10"/>
          <w:sz w:val="22"/>
          <w:szCs w:val="20"/>
        </w:rPr>
        <w:drawing>
          <wp:inline distT="0" distB="0" distL="0" distR="0">
            <wp:extent cx="209550" cy="219075"/>
            <wp:effectExtent l="0" t="0" r="0" b="9525"/>
            <wp:docPr id="33" name="Рисунок 33" descr="base_1_220786_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220786_13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0D6289">
        <w:rPr>
          <w:rFonts w:ascii="Calibri" w:hAnsi="Calibri" w:cs="Calibri"/>
          <w:color w:val="auto"/>
          <w:sz w:val="22"/>
          <w:szCs w:val="20"/>
        </w:rPr>
        <w:t xml:space="preserve"> - коэффициенты значимости показателей надежности и качества оказываемых услуг:</w:t>
      </w:r>
    </w:p>
    <w:p w:rsidR="000D6289" w:rsidRP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noProof/>
          <w:color w:val="auto"/>
          <w:position w:val="-8"/>
          <w:sz w:val="22"/>
          <w:szCs w:val="20"/>
        </w:rPr>
        <w:drawing>
          <wp:inline distT="0" distB="0" distL="0" distR="0">
            <wp:extent cx="676275" cy="209550"/>
            <wp:effectExtent l="0" t="0" r="9525" b="0"/>
            <wp:docPr id="32" name="Рисунок 32" descr="base_1_220786_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220786_13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Pr="000D6289">
        <w:rPr>
          <w:rFonts w:ascii="Calibri" w:hAnsi="Calibri" w:cs="Calibri"/>
          <w:color w:val="auto"/>
          <w:sz w:val="22"/>
          <w:szCs w:val="20"/>
        </w:rPr>
        <w:t xml:space="preserve"> и </w:t>
      </w:r>
      <w:r w:rsidRPr="000D6289">
        <w:rPr>
          <w:rFonts w:ascii="Calibri" w:hAnsi="Calibri" w:cs="Calibri"/>
          <w:noProof/>
          <w:color w:val="auto"/>
          <w:position w:val="-8"/>
          <w:sz w:val="22"/>
          <w:szCs w:val="20"/>
        </w:rPr>
        <w:drawing>
          <wp:inline distT="0" distB="0" distL="0" distR="0">
            <wp:extent cx="704850" cy="209550"/>
            <wp:effectExtent l="0" t="0" r="0" b="0"/>
            <wp:docPr id="31" name="Рисунок 31" descr="base_1_220786_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220786_13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0D6289">
        <w:rPr>
          <w:rFonts w:ascii="Calibri" w:hAnsi="Calibri" w:cs="Calibri"/>
          <w:color w:val="auto"/>
          <w:sz w:val="22"/>
          <w:szCs w:val="20"/>
        </w:rPr>
        <w:t xml:space="preserve">, </w:t>
      </w:r>
      <w:r w:rsidRPr="000D6289">
        <w:rPr>
          <w:rFonts w:ascii="Calibri" w:hAnsi="Calibri" w:cs="Calibri"/>
          <w:noProof/>
          <w:color w:val="auto"/>
          <w:position w:val="-10"/>
          <w:sz w:val="22"/>
          <w:szCs w:val="20"/>
        </w:rPr>
        <w:drawing>
          <wp:inline distT="0" distB="0" distL="0" distR="0">
            <wp:extent cx="666750" cy="219075"/>
            <wp:effectExtent l="0" t="0" r="0" b="9525"/>
            <wp:docPr id="30" name="Рисунок 30" descr="base_1_220786_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220786_13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r w:rsidRPr="000D6289">
        <w:rPr>
          <w:rFonts w:ascii="Calibri" w:hAnsi="Calibri" w:cs="Calibri"/>
          <w:color w:val="auto"/>
          <w:sz w:val="22"/>
          <w:szCs w:val="20"/>
        </w:rPr>
        <w:t xml:space="preserve"> и </w:t>
      </w:r>
      <w:r w:rsidRPr="000D6289">
        <w:rPr>
          <w:rFonts w:ascii="Calibri" w:hAnsi="Calibri" w:cs="Calibri"/>
          <w:noProof/>
          <w:color w:val="auto"/>
          <w:position w:val="-10"/>
          <w:sz w:val="22"/>
          <w:szCs w:val="20"/>
        </w:rPr>
        <w:drawing>
          <wp:inline distT="0" distB="0" distL="0" distR="0">
            <wp:extent cx="581025" cy="219075"/>
            <wp:effectExtent l="0" t="0" r="9525" b="9525"/>
            <wp:docPr id="29" name="Рисунок 29" descr="base_1_220786_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220786_14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0D6289">
        <w:rPr>
          <w:rFonts w:ascii="Calibri" w:hAnsi="Calibri" w:cs="Calibri"/>
          <w:color w:val="auto"/>
          <w:sz w:val="22"/>
          <w:szCs w:val="20"/>
        </w:rPr>
        <w:t>;</w:t>
      </w:r>
    </w:p>
    <w:p w:rsidR="000D6289" w:rsidRP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color w:val="auto"/>
          <w:sz w:val="22"/>
          <w:szCs w:val="20"/>
        </w:rPr>
        <w:t>K</w:t>
      </w:r>
      <w:r w:rsidRPr="000D6289">
        <w:rPr>
          <w:rFonts w:ascii="Calibri" w:hAnsi="Calibri" w:cs="Calibri"/>
          <w:color w:val="auto"/>
          <w:sz w:val="22"/>
          <w:szCs w:val="20"/>
          <w:vertAlign w:val="subscript"/>
        </w:rPr>
        <w:t>над1</w:t>
      </w:r>
      <w:r w:rsidRPr="000D6289">
        <w:rPr>
          <w:rFonts w:ascii="Calibri" w:hAnsi="Calibri" w:cs="Calibri"/>
          <w:color w:val="auto"/>
          <w:sz w:val="22"/>
          <w:szCs w:val="20"/>
        </w:rPr>
        <w:t xml:space="preserve"> и K</w:t>
      </w:r>
      <w:r w:rsidRPr="000D6289">
        <w:rPr>
          <w:rFonts w:ascii="Calibri" w:hAnsi="Calibri" w:cs="Calibri"/>
          <w:color w:val="auto"/>
          <w:sz w:val="22"/>
          <w:szCs w:val="20"/>
          <w:vertAlign w:val="subscript"/>
        </w:rPr>
        <w:t>над2</w:t>
      </w:r>
      <w:r w:rsidRPr="000D6289">
        <w:rPr>
          <w:rFonts w:ascii="Calibri" w:hAnsi="Calibri" w:cs="Calibri"/>
          <w:color w:val="auto"/>
          <w:sz w:val="22"/>
          <w:szCs w:val="20"/>
        </w:rPr>
        <w:t xml:space="preserve"> - коэффициент достижения (недостижения, перевыполнения) уровня надежности оказываемых услуг;</w:t>
      </w:r>
    </w:p>
    <w:p w:rsidR="000D6289" w:rsidRP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color w:val="auto"/>
          <w:sz w:val="22"/>
          <w:szCs w:val="20"/>
        </w:rPr>
        <w:t>K</w:t>
      </w:r>
      <w:r w:rsidRPr="000D6289">
        <w:rPr>
          <w:rFonts w:ascii="Calibri" w:hAnsi="Calibri" w:cs="Calibri"/>
          <w:color w:val="auto"/>
          <w:sz w:val="22"/>
          <w:szCs w:val="20"/>
          <w:vertAlign w:val="subscript"/>
        </w:rPr>
        <w:t>кач1</w:t>
      </w:r>
      <w:r w:rsidRPr="000D6289">
        <w:rPr>
          <w:rFonts w:ascii="Calibri" w:hAnsi="Calibri" w:cs="Calibri"/>
          <w:color w:val="auto"/>
          <w:sz w:val="22"/>
          <w:szCs w:val="20"/>
        </w:rPr>
        <w:t xml:space="preserve"> - коэффициенты достижения (недостижения, перевыполнения) уровня качества оказываемых услуг;</w:t>
      </w:r>
    </w:p>
    <w:p w:rsid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color w:val="auto"/>
          <w:sz w:val="22"/>
          <w:szCs w:val="20"/>
        </w:rPr>
        <w:t>K</w:t>
      </w:r>
      <w:r w:rsidRPr="000D6289">
        <w:rPr>
          <w:rFonts w:ascii="Calibri" w:hAnsi="Calibri" w:cs="Calibri"/>
          <w:color w:val="auto"/>
          <w:sz w:val="22"/>
          <w:szCs w:val="20"/>
          <w:vertAlign w:val="subscript"/>
        </w:rPr>
        <w:t>кач3</w:t>
      </w:r>
      <w:r w:rsidRPr="000D6289">
        <w:rPr>
          <w:rFonts w:ascii="Calibri" w:hAnsi="Calibri" w:cs="Calibri"/>
          <w:color w:val="auto"/>
          <w:sz w:val="22"/>
          <w:szCs w:val="20"/>
        </w:rPr>
        <w:t xml:space="preserve"> - показатель качества исполнения Единых </w:t>
      </w:r>
      <w:hyperlink r:id="rId29" w:history="1">
        <w:r w:rsidRPr="000D6289">
          <w:rPr>
            <w:rFonts w:ascii="Calibri" w:hAnsi="Calibri" w:cs="Calibri"/>
            <w:color w:val="auto"/>
            <w:sz w:val="22"/>
            <w:szCs w:val="20"/>
          </w:rPr>
          <w:t>стандартов</w:t>
        </w:r>
      </w:hyperlink>
      <w:r w:rsidRPr="000D6289">
        <w:rPr>
          <w:rFonts w:ascii="Calibri" w:hAnsi="Calibri" w:cs="Calibri"/>
          <w:color w:val="auto"/>
          <w:sz w:val="22"/>
          <w:szCs w:val="20"/>
        </w:rPr>
        <w:t xml:space="preserve"> качества обслуживания сетевыми организациями потребителей услуг сетевых организаций, утвержденных приказом Минэнерго Ро</w:t>
      </w:r>
      <w:r>
        <w:rPr>
          <w:rFonts w:ascii="Calibri" w:hAnsi="Calibri" w:cs="Calibri"/>
          <w:color w:val="auto"/>
          <w:sz w:val="22"/>
          <w:szCs w:val="20"/>
        </w:rPr>
        <w:t>ссии от 15 апреля 2014 г. N 186.</w:t>
      </w:r>
    </w:p>
    <w:p w:rsidR="000D6289" w:rsidRPr="000D6289" w:rsidRDefault="000D6289" w:rsidP="000D6289">
      <w:pPr>
        <w:widowControl w:val="0"/>
        <w:autoSpaceDE w:val="0"/>
        <w:autoSpaceDN w:val="0"/>
        <w:spacing w:after="0" w:line="240" w:lineRule="auto"/>
        <w:ind w:left="0" w:firstLine="540"/>
        <w:rPr>
          <w:rFonts w:ascii="Calibri" w:hAnsi="Calibri" w:cs="Calibri"/>
          <w:color w:val="auto"/>
          <w:sz w:val="22"/>
          <w:szCs w:val="20"/>
        </w:rPr>
      </w:pPr>
      <w:r w:rsidRPr="000D6289">
        <w:rPr>
          <w:rFonts w:ascii="Calibri" w:hAnsi="Calibri" w:cs="Calibri"/>
          <w:color w:val="auto"/>
          <w:sz w:val="22"/>
          <w:szCs w:val="20"/>
        </w:rPr>
        <w:t xml:space="preserve">Расчет обобщенного показателя уровня надежности и качества оказываемых услуг производится в соответствии с </w:t>
      </w:r>
      <w:hyperlink w:anchor="P1904" w:history="1">
        <w:r w:rsidRPr="000D6289">
          <w:rPr>
            <w:rFonts w:ascii="Calibri" w:hAnsi="Calibri" w:cs="Calibri"/>
            <w:color w:val="auto"/>
            <w:sz w:val="22"/>
            <w:szCs w:val="20"/>
          </w:rPr>
          <w:t>формами 4.1</w:t>
        </w:r>
      </w:hyperlink>
      <w:r w:rsidRPr="000D6289">
        <w:rPr>
          <w:rFonts w:ascii="Calibri" w:hAnsi="Calibri" w:cs="Calibri"/>
          <w:color w:val="auto"/>
          <w:sz w:val="22"/>
          <w:szCs w:val="20"/>
        </w:rPr>
        <w:t xml:space="preserve"> и </w:t>
      </w:r>
      <w:hyperlink w:anchor="P1981" w:history="1">
        <w:r w:rsidRPr="000D6289">
          <w:rPr>
            <w:rFonts w:ascii="Calibri" w:hAnsi="Calibri" w:cs="Calibri"/>
            <w:color w:val="auto"/>
            <w:sz w:val="22"/>
            <w:szCs w:val="20"/>
          </w:rPr>
          <w:t>4.2</w:t>
        </w:r>
      </w:hyperlink>
      <w:r w:rsidRPr="000D6289">
        <w:rPr>
          <w:rFonts w:ascii="Calibri" w:hAnsi="Calibri" w:cs="Calibri"/>
          <w:color w:val="auto"/>
          <w:sz w:val="22"/>
          <w:szCs w:val="20"/>
        </w:rPr>
        <w:t xml:space="preserve"> приложения N 4 Методических указаний, утвержденных приказом Министерства энергетики РФ от 29.11.2016 №1256.  </w:t>
      </w:r>
    </w:p>
    <w:p w:rsidR="00B7499A" w:rsidRDefault="00CC3BE2" w:rsidP="00972FD4">
      <w:pPr>
        <w:pStyle w:val="ConsPlusNormal"/>
        <w:spacing w:before="220"/>
        <w:ind w:firstLine="540"/>
        <w:jc w:val="both"/>
      </w:pPr>
      <w:r>
        <w:t>Для</w:t>
      </w:r>
      <w:r w:rsidR="000D6289">
        <w:t xml:space="preserve"> ООО «Самолет-Прогресс», для</w:t>
      </w:r>
      <w:r>
        <w:t xml:space="preserve"> первого периода регулирования</w:t>
      </w:r>
      <w:r w:rsidR="000D6289">
        <w:t xml:space="preserve">, </w:t>
      </w:r>
      <w:r>
        <w:t>устанавливаем</w:t>
      </w:r>
      <w:r w:rsidR="00B7499A">
        <w:t xml:space="preserve"> планов</w:t>
      </w:r>
      <w:r w:rsidR="00972FD4">
        <w:t>ые значения</w:t>
      </w:r>
      <w:r w:rsidR="00B7499A">
        <w:t xml:space="preserve"> </w:t>
      </w:r>
      <w:r w:rsidR="00972FD4" w:rsidRPr="00972FD4">
        <w:rPr>
          <w:i/>
        </w:rPr>
        <w:t>показател</w:t>
      </w:r>
      <w:r w:rsidR="00972FD4">
        <w:rPr>
          <w:i/>
        </w:rPr>
        <w:t>ей</w:t>
      </w:r>
      <w:r w:rsidR="00972FD4" w:rsidRPr="00972FD4">
        <w:rPr>
          <w:i/>
        </w:rPr>
        <w:t xml:space="preserve"> уровня надежности оказываемых услуг</w:t>
      </w:r>
      <w:r w:rsidR="00972FD4">
        <w:rPr>
          <w:i/>
        </w:rPr>
        <w:t xml:space="preserve"> и</w:t>
      </w:r>
      <w:r w:rsidR="00972FD4">
        <w:t xml:space="preserve"> </w:t>
      </w:r>
      <w:r w:rsidR="00972FD4" w:rsidRPr="00195826">
        <w:rPr>
          <w:i/>
        </w:rPr>
        <w:t>уровня качества обслуживания потребителей услуг</w:t>
      </w:r>
      <w:r w:rsidR="00972FD4">
        <w:t xml:space="preserve"> равными </w:t>
      </w:r>
      <w:r>
        <w:t>условию достижения п</w:t>
      </w:r>
      <w:r w:rsidRPr="00972FD4">
        <w:t>оказател</w:t>
      </w:r>
      <w:r w:rsidR="00972FD4">
        <w:t>ей.</w:t>
      </w:r>
    </w:p>
    <w:p w:rsidR="00B7499A" w:rsidRDefault="00B7499A" w:rsidP="00B7499A">
      <w:pPr>
        <w:pStyle w:val="ConsPlusNormal"/>
        <w:spacing w:before="220"/>
        <w:ind w:firstLine="540"/>
        <w:jc w:val="both"/>
      </w:pPr>
      <w:r w:rsidRPr="001C4F81">
        <w:t xml:space="preserve">Расчет обобщенного показателя уровня надежности и качества оказываемых услуг производится в соответствии с </w:t>
      </w:r>
      <w:hyperlink w:anchor="P1904" w:history="1">
        <w:r w:rsidRPr="001C4F81">
          <w:rPr>
            <w:i/>
            <w:u w:val="single"/>
          </w:rPr>
          <w:t>формами 4.1</w:t>
        </w:r>
      </w:hyperlink>
      <w:r w:rsidRPr="001C4F81">
        <w:rPr>
          <w:i/>
          <w:u w:val="single"/>
        </w:rPr>
        <w:t xml:space="preserve"> и </w:t>
      </w:r>
      <w:hyperlink w:anchor="P1981" w:history="1">
        <w:r w:rsidRPr="001C4F81">
          <w:rPr>
            <w:i/>
            <w:u w:val="single"/>
          </w:rPr>
          <w:t>4.2</w:t>
        </w:r>
      </w:hyperlink>
      <w:r w:rsidRPr="001C4F81">
        <w:t>.</w:t>
      </w:r>
    </w:p>
    <w:p w:rsidR="00157060" w:rsidRDefault="00157060" w:rsidP="00B7499A">
      <w:pPr>
        <w:pStyle w:val="ConsPlusNormal"/>
        <w:spacing w:before="220"/>
        <w:ind w:firstLine="540"/>
        <w:jc w:val="both"/>
      </w:pPr>
    </w:p>
    <w:p w:rsidR="00797F12" w:rsidRPr="00157060" w:rsidRDefault="00797F12" w:rsidP="00E965BB">
      <w:pPr>
        <w:pStyle w:val="ConsPlusNormal"/>
        <w:numPr>
          <w:ilvl w:val="0"/>
          <w:numId w:val="5"/>
        </w:numPr>
        <w:jc w:val="both"/>
        <w:rPr>
          <w:b/>
        </w:rPr>
      </w:pPr>
      <w:r w:rsidRPr="00157060">
        <w:rPr>
          <w:b/>
        </w:rPr>
        <w:t>Индикативные показатели уровня надежности оказываемых</w:t>
      </w:r>
      <w:r w:rsidR="00157060" w:rsidRPr="00157060">
        <w:rPr>
          <w:b/>
        </w:rPr>
        <w:t xml:space="preserve"> </w:t>
      </w:r>
      <w:r w:rsidRPr="00157060">
        <w:rPr>
          <w:b/>
        </w:rPr>
        <w:t>услуг сетевыми организациями и порядок их расчета</w:t>
      </w:r>
      <w:r w:rsidR="00AD71AD">
        <w:rPr>
          <w:b/>
        </w:rPr>
        <w:t>.</w:t>
      </w:r>
    </w:p>
    <w:p w:rsidR="002A304C" w:rsidRDefault="00797F12" w:rsidP="00AD71AD">
      <w:pPr>
        <w:pStyle w:val="ConsPlusNormal"/>
        <w:spacing w:before="120"/>
        <w:jc w:val="both"/>
      </w:pPr>
      <w:r>
        <w:t xml:space="preserve">Индикативный показатель уровня надежности оказываемых услуг территориальными сетевыми организациями, определяется </w:t>
      </w:r>
      <w:r w:rsidR="002A304C">
        <w:t>в соответствии</w:t>
      </w:r>
      <w:r>
        <w:t xml:space="preserve"> с</w:t>
      </w:r>
      <w:r w:rsidR="002A304C">
        <w:t xml:space="preserve"> </w:t>
      </w:r>
      <w:r w:rsidR="002A304C" w:rsidRPr="002A304C">
        <w:t>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от 29.10.2016 №1256 для сетевых организаций</w:t>
      </w:r>
      <w:r w:rsidR="002A304C">
        <w:t>,</w:t>
      </w:r>
      <w:r w:rsidR="002A304C" w:rsidRPr="002A304C">
        <w:t xml:space="preserve"> </w:t>
      </w:r>
      <w:r w:rsidR="002A304C">
        <w:t xml:space="preserve">чей долгосрочный период регулирования начался </w:t>
      </w:r>
      <w:r w:rsidR="00AD71AD">
        <w:t>с</w:t>
      </w:r>
      <w:r w:rsidR="002A304C">
        <w:t xml:space="preserve"> 2018 года.</w:t>
      </w:r>
      <w:r w:rsidR="00AD71AD">
        <w:t xml:space="preserve">  Для ООО «Самолет-Прогресс», у которого первый период регулирования планируется на 2017-2018гг, расчет индикативных показателей надежности оказываемых услуг сетевыми организациями не требуется.</w:t>
      </w:r>
    </w:p>
    <w:p w:rsidR="00EE64E5" w:rsidRDefault="00EE64E5" w:rsidP="00AD71AD">
      <w:pPr>
        <w:pStyle w:val="ConsPlusNormal"/>
        <w:spacing w:before="120"/>
        <w:jc w:val="both"/>
      </w:pPr>
    </w:p>
    <w:p w:rsidR="00972FD4" w:rsidRDefault="00972FD4" w:rsidP="00972FD4">
      <w:pPr>
        <w:pStyle w:val="ConsPlusNormal"/>
        <w:spacing w:before="120"/>
        <w:jc w:val="both"/>
        <w:rPr>
          <w:b/>
        </w:rPr>
      </w:pPr>
      <w:r w:rsidRPr="00EE64E5">
        <w:rPr>
          <w:b/>
        </w:rPr>
        <w:t xml:space="preserve">Генеральный директор                                                                                                     </w:t>
      </w:r>
      <w:r>
        <w:rPr>
          <w:b/>
        </w:rPr>
        <w:t>О.Н.Архипов</w:t>
      </w:r>
      <w:r w:rsidRPr="00EE64E5">
        <w:rPr>
          <w:b/>
        </w:rPr>
        <w:t xml:space="preserve">     </w:t>
      </w:r>
    </w:p>
    <w:p w:rsidR="00C9273E" w:rsidRDefault="00C9273E" w:rsidP="00AD71AD">
      <w:pPr>
        <w:pStyle w:val="ConsPlusNormal"/>
        <w:spacing w:before="120"/>
        <w:jc w:val="both"/>
        <w:rPr>
          <w:b/>
        </w:rPr>
      </w:pPr>
    </w:p>
    <w:p w:rsidR="00C9273E" w:rsidRDefault="00C9273E" w:rsidP="00AD71AD">
      <w:pPr>
        <w:pStyle w:val="ConsPlusNormal"/>
        <w:spacing w:before="120"/>
        <w:jc w:val="both"/>
        <w:rPr>
          <w:b/>
        </w:rPr>
      </w:pPr>
    </w:p>
    <w:p w:rsidR="00C9273E" w:rsidRDefault="00C9273E">
      <w:pPr>
        <w:spacing w:after="160"/>
        <w:ind w:left="0" w:firstLine="0"/>
        <w:jc w:val="left"/>
        <w:rPr>
          <w:rFonts w:ascii="Calibri" w:hAnsi="Calibri" w:cs="Calibri"/>
          <w:b/>
          <w:color w:val="auto"/>
          <w:sz w:val="22"/>
          <w:szCs w:val="20"/>
        </w:rPr>
      </w:pPr>
      <w:r>
        <w:rPr>
          <w:b/>
        </w:rPr>
        <w:br w:type="page"/>
      </w:r>
    </w:p>
    <w:p w:rsidR="00C9273E" w:rsidRPr="00DD0D06" w:rsidRDefault="00C9273E" w:rsidP="00C9273E">
      <w:pPr>
        <w:spacing w:after="160"/>
        <w:ind w:left="0" w:firstLine="0"/>
        <w:jc w:val="right"/>
        <w:rPr>
          <w:i/>
          <w:u w:val="single"/>
        </w:rPr>
      </w:pPr>
      <w:r w:rsidRPr="00C9273E">
        <w:rPr>
          <w:i/>
          <w:u w:val="single"/>
        </w:rPr>
        <w:t>Форма</w:t>
      </w:r>
      <w:r w:rsidRPr="00DD0D06">
        <w:rPr>
          <w:i/>
          <w:u w:val="single"/>
        </w:rPr>
        <w:t xml:space="preserve"> 1.3. </w:t>
      </w:r>
    </w:p>
    <w:p w:rsidR="00C9273E" w:rsidRDefault="00C9273E" w:rsidP="00C9273E">
      <w:pPr>
        <w:pStyle w:val="ConsPlusNormal"/>
        <w:ind w:firstLine="540"/>
        <w:jc w:val="center"/>
      </w:pPr>
      <w:r>
        <w:t>Расчет показателя средней продолжительности</w:t>
      </w:r>
    </w:p>
    <w:p w:rsidR="00C9273E" w:rsidRDefault="00C9273E" w:rsidP="00C9273E">
      <w:pPr>
        <w:pStyle w:val="ConsPlusNormal"/>
        <w:ind w:firstLine="540"/>
        <w:jc w:val="center"/>
      </w:pPr>
      <w:r>
        <w:t>прекращения передачи электрической энергии потребителям</w:t>
      </w:r>
    </w:p>
    <w:p w:rsidR="00C9273E" w:rsidRDefault="00C9273E" w:rsidP="00C9273E">
      <w:pPr>
        <w:pStyle w:val="ConsPlusNormal"/>
        <w:ind w:firstLine="540"/>
        <w:jc w:val="center"/>
      </w:pPr>
      <w:r>
        <w:t>услуг и показателя средней частоты прекращений передачи</w:t>
      </w:r>
    </w:p>
    <w:p w:rsidR="00C9273E" w:rsidRDefault="00C9273E" w:rsidP="00C9273E">
      <w:pPr>
        <w:pStyle w:val="ConsPlusNormal"/>
        <w:ind w:firstLine="540"/>
        <w:jc w:val="center"/>
      </w:pPr>
      <w:r>
        <w:t>электрической энергии потребителям услуг</w:t>
      </w:r>
    </w:p>
    <w:p w:rsidR="00C9273E" w:rsidRDefault="00C9273E" w:rsidP="00C9273E">
      <w:pPr>
        <w:pStyle w:val="ConsPlusNormal"/>
        <w:ind w:firstLine="540"/>
        <w:jc w:val="center"/>
      </w:pPr>
      <w:r>
        <w:t>сетевой организации</w:t>
      </w:r>
    </w:p>
    <w:p w:rsidR="00C9273E" w:rsidRPr="005E4B0C" w:rsidRDefault="00C9273E" w:rsidP="00C9273E">
      <w:pPr>
        <w:pStyle w:val="ConsPlusNormal"/>
        <w:pBdr>
          <w:bottom w:val="single" w:sz="4" w:space="10" w:color="auto"/>
        </w:pBdr>
        <w:spacing w:before="120"/>
        <w:ind w:firstLine="709"/>
        <w:jc w:val="center"/>
        <w:rPr>
          <w:b/>
          <w:sz w:val="28"/>
          <w:szCs w:val="28"/>
        </w:rPr>
      </w:pPr>
      <w:r w:rsidRPr="005E4B0C">
        <w:rPr>
          <w:b/>
          <w:sz w:val="28"/>
          <w:szCs w:val="28"/>
        </w:rPr>
        <w:t>ООО «Самолет-Прогресс»</w:t>
      </w:r>
    </w:p>
    <w:p w:rsidR="00C9273E" w:rsidRDefault="00C9273E" w:rsidP="00C9273E">
      <w:pPr>
        <w:pStyle w:val="ConsPlusNormal"/>
        <w:ind w:firstLine="708"/>
        <w:jc w:val="both"/>
      </w:pPr>
    </w:p>
    <w:p w:rsidR="00C9273E" w:rsidRDefault="00C9273E" w:rsidP="00C9273E">
      <w:pPr>
        <w:pStyle w:val="ConsPlusNonformat"/>
        <w:jc w:val="both"/>
      </w:pPr>
      <w:r>
        <w:t xml:space="preserve">                     </w:t>
      </w:r>
    </w:p>
    <w:p w:rsidR="00C9273E" w:rsidRDefault="00C9273E" w:rsidP="00C9273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5160"/>
      </w:tblGrid>
      <w:tr w:rsidR="00C9273E" w:rsidTr="003C1B2C">
        <w:tc>
          <w:tcPr>
            <w:tcW w:w="567" w:type="dxa"/>
          </w:tcPr>
          <w:p w:rsidR="00C9273E" w:rsidRDefault="00C9273E" w:rsidP="003C1B2C">
            <w:pPr>
              <w:pStyle w:val="ConsPlusNormal"/>
              <w:jc w:val="center"/>
            </w:pPr>
            <w:r>
              <w:t>N п/п</w:t>
            </w:r>
          </w:p>
        </w:tc>
        <w:tc>
          <w:tcPr>
            <w:tcW w:w="3345" w:type="dxa"/>
          </w:tcPr>
          <w:p w:rsidR="00C9273E" w:rsidRDefault="00C9273E" w:rsidP="003C1B2C">
            <w:pPr>
              <w:pStyle w:val="ConsPlusNormal"/>
              <w:jc w:val="center"/>
            </w:pPr>
            <w:r>
              <w:t>Наименование составляющей показателя</w:t>
            </w:r>
          </w:p>
        </w:tc>
        <w:tc>
          <w:tcPr>
            <w:tcW w:w="5160" w:type="dxa"/>
          </w:tcPr>
          <w:p w:rsidR="00C9273E" w:rsidRDefault="00C9273E" w:rsidP="003C1B2C">
            <w:pPr>
              <w:pStyle w:val="ConsPlusNormal"/>
              <w:jc w:val="center"/>
            </w:pPr>
            <w:r>
              <w:t>Метод определения</w:t>
            </w:r>
          </w:p>
        </w:tc>
      </w:tr>
      <w:tr w:rsidR="00C9273E" w:rsidTr="003C1B2C">
        <w:tc>
          <w:tcPr>
            <w:tcW w:w="567" w:type="dxa"/>
          </w:tcPr>
          <w:p w:rsidR="00C9273E" w:rsidRDefault="00C9273E" w:rsidP="003C1B2C">
            <w:pPr>
              <w:pStyle w:val="ConsPlusNormal"/>
              <w:jc w:val="center"/>
            </w:pPr>
            <w:bookmarkStart w:id="8" w:name="P739"/>
            <w:bookmarkEnd w:id="8"/>
            <w:r>
              <w:t>1</w:t>
            </w:r>
          </w:p>
        </w:tc>
        <w:tc>
          <w:tcPr>
            <w:tcW w:w="3345" w:type="dxa"/>
          </w:tcPr>
          <w:p w:rsidR="00C9273E" w:rsidRDefault="00C9273E" w:rsidP="003C1B2C">
            <w:pPr>
              <w:pStyle w:val="ConsPlusNormal"/>
            </w:pPr>
            <w:r>
              <w:t>Максимальное за расчетный период регулирования число точек поставки потребителей услуг сетевой организации, шт.</w:t>
            </w:r>
          </w:p>
        </w:tc>
        <w:tc>
          <w:tcPr>
            <w:tcW w:w="5160" w:type="dxa"/>
          </w:tcPr>
          <w:p w:rsidR="00C9273E" w:rsidRDefault="00C9273E" w:rsidP="00C9273E">
            <w:pPr>
              <w:pStyle w:val="ConsPlusNormal"/>
              <w:jc w:val="center"/>
            </w:pPr>
            <w:r>
              <w:t xml:space="preserve">Требование по МУ - в соответствии с заключенными договорами по передаче электроэнергии. </w:t>
            </w:r>
          </w:p>
          <w:p w:rsidR="00C9273E" w:rsidRDefault="00C9273E" w:rsidP="00C9273E">
            <w:pPr>
              <w:pStyle w:val="ConsPlusNormal"/>
              <w:jc w:val="center"/>
            </w:pPr>
          </w:p>
          <w:p w:rsidR="00C9273E" w:rsidRPr="00C9273E" w:rsidRDefault="00C9273E" w:rsidP="00C9273E">
            <w:pPr>
              <w:pStyle w:val="ConsPlusNormal"/>
              <w:jc w:val="center"/>
              <w:rPr>
                <w:i/>
                <w:sz w:val="20"/>
              </w:rPr>
            </w:pPr>
            <w:r w:rsidRPr="00C9273E">
              <w:rPr>
                <w:i/>
                <w:sz w:val="20"/>
              </w:rPr>
              <w:t>Договор по передаче электрической энергии с                   ООО «Самолет-Прогресс» будет заключен после получения индивидуального тарифа на передачу электрической энергии</w:t>
            </w:r>
          </w:p>
        </w:tc>
      </w:tr>
      <w:tr w:rsidR="00C9273E" w:rsidTr="003C1B2C">
        <w:tc>
          <w:tcPr>
            <w:tcW w:w="567" w:type="dxa"/>
          </w:tcPr>
          <w:p w:rsidR="00C9273E" w:rsidRDefault="00C9273E" w:rsidP="003C1B2C">
            <w:pPr>
              <w:pStyle w:val="ConsPlusNormal"/>
              <w:jc w:val="center"/>
            </w:pPr>
            <w:r>
              <w:t>2</w:t>
            </w:r>
          </w:p>
        </w:tc>
        <w:tc>
          <w:tcPr>
            <w:tcW w:w="3345" w:type="dxa"/>
          </w:tcPr>
          <w:p w:rsidR="00C9273E" w:rsidRDefault="00C9273E" w:rsidP="003C1B2C">
            <w:pPr>
              <w:pStyle w:val="ConsPlusNormal"/>
            </w:pPr>
            <w:r>
              <w:t>Средняя продолжительность прекращения передачи электрической энергии на точку поставки (П</w:t>
            </w:r>
            <w:r>
              <w:rPr>
                <w:vertAlign w:val="subscript"/>
              </w:rPr>
              <w:t>saidi</w:t>
            </w:r>
            <w:r>
              <w:t>), час</w:t>
            </w:r>
          </w:p>
        </w:tc>
        <w:tc>
          <w:tcPr>
            <w:tcW w:w="5160" w:type="dxa"/>
          </w:tcPr>
          <w:p w:rsidR="00C9273E" w:rsidRDefault="00C9273E" w:rsidP="003C1B2C">
            <w:pPr>
              <w:pStyle w:val="ConsPlusNormal"/>
              <w:jc w:val="center"/>
            </w:pPr>
            <w:r>
              <w:t xml:space="preserve">Требование МУ - сумма произведений по </w:t>
            </w:r>
            <w:hyperlink w:anchor="P3053" w:history="1">
              <w:r>
                <w:rPr>
                  <w:color w:val="0000FF"/>
                </w:rPr>
                <w:t>столбцу 9</w:t>
              </w:r>
            </w:hyperlink>
            <w:r>
              <w:t xml:space="preserve"> и </w:t>
            </w:r>
            <w:hyperlink w:anchor="P3057" w:history="1">
              <w:r>
                <w:rPr>
                  <w:color w:val="0000FF"/>
                </w:rPr>
                <w:t>столбцу 13</w:t>
              </w:r>
            </w:hyperlink>
            <w:r>
              <w:t xml:space="preserve"> формы 8.1, деленная на значение </w:t>
            </w:r>
            <w:hyperlink w:anchor="P739" w:history="1">
              <w:r>
                <w:rPr>
                  <w:color w:val="0000FF"/>
                </w:rPr>
                <w:t>пункта 1</w:t>
              </w:r>
            </w:hyperlink>
            <w:r>
              <w:t xml:space="preserve"> Формы 1.3</w:t>
            </w:r>
          </w:p>
          <w:p w:rsidR="00C9273E" w:rsidRDefault="00C9273E" w:rsidP="003C1B2C">
            <w:pPr>
              <w:pStyle w:val="ConsPlusNormal"/>
              <w:jc w:val="center"/>
            </w:pPr>
            <w:r>
              <w:t>(</w:t>
            </w:r>
            <w:r>
              <w:rPr>
                <w:noProof/>
                <w:position w:val="-8"/>
              </w:rPr>
              <w:drawing>
                <wp:inline distT="0" distB="0" distL="0" distR="0">
                  <wp:extent cx="171450" cy="209550"/>
                  <wp:effectExtent l="0" t="0" r="0" b="0"/>
                  <wp:docPr id="4" name="Рисунок 4" descr="base_1_220786_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20786_14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vertAlign w:val="subscript"/>
              </w:rPr>
              <w:t>столбец 9 * столбец 13</w:t>
            </w:r>
            <w:r>
              <w:t>) / пункт 1 формы 1.3).</w:t>
            </w:r>
          </w:p>
          <w:p w:rsidR="00C9273E" w:rsidRDefault="00C9273E" w:rsidP="003C1B2C">
            <w:pPr>
              <w:pStyle w:val="ConsPlusNormal"/>
              <w:jc w:val="center"/>
            </w:pPr>
            <w:r>
              <w:t xml:space="preserve">При этом учитываются только события, по которым значения в </w:t>
            </w:r>
            <w:hyperlink w:anchor="P3052" w:history="1">
              <w:r>
                <w:rPr>
                  <w:color w:val="0000FF"/>
                </w:rPr>
                <w:t>столбце 8</w:t>
              </w:r>
            </w:hyperlink>
            <w:r>
              <w:t xml:space="preserve"> равны "В", а в </w:t>
            </w:r>
            <w:hyperlink w:anchor="P3071" w:history="1">
              <w:r>
                <w:rPr>
                  <w:color w:val="0000FF"/>
                </w:rPr>
                <w:t>столбце 27</w:t>
              </w:r>
            </w:hyperlink>
            <w:r>
              <w:t xml:space="preserve"> равны "1"</w:t>
            </w:r>
          </w:p>
          <w:p w:rsidR="009277E7" w:rsidRDefault="009277E7" w:rsidP="003C1B2C">
            <w:pPr>
              <w:pStyle w:val="ConsPlusNormal"/>
              <w:jc w:val="center"/>
            </w:pPr>
          </w:p>
          <w:p w:rsidR="00C9273E" w:rsidRPr="00C9273E" w:rsidRDefault="00C9273E" w:rsidP="003C1B2C">
            <w:pPr>
              <w:pStyle w:val="ConsPlusNormal"/>
              <w:jc w:val="center"/>
              <w:rPr>
                <w:i/>
                <w:sz w:val="20"/>
              </w:rPr>
            </w:pPr>
            <w:r>
              <w:rPr>
                <w:i/>
                <w:sz w:val="20"/>
              </w:rPr>
              <w:t xml:space="preserve">В связи с отсутствием индивидуального тарифа, договора на передачу электрической энергии, </w:t>
            </w:r>
            <w:r w:rsidR="009277E7">
              <w:rPr>
                <w:i/>
                <w:sz w:val="20"/>
              </w:rPr>
              <w:t xml:space="preserve">и как следствие, количества точек поставки, </w:t>
            </w:r>
            <w:r>
              <w:rPr>
                <w:i/>
                <w:sz w:val="20"/>
              </w:rPr>
              <w:t xml:space="preserve">расчет продолжительности прекращения передачи электрической энергии на точку поставки выполнить не представляется возможным. </w:t>
            </w:r>
          </w:p>
        </w:tc>
      </w:tr>
      <w:tr w:rsidR="00C9273E" w:rsidTr="003C1B2C">
        <w:tc>
          <w:tcPr>
            <w:tcW w:w="567" w:type="dxa"/>
          </w:tcPr>
          <w:p w:rsidR="00C9273E" w:rsidRDefault="00C9273E" w:rsidP="003C1B2C">
            <w:pPr>
              <w:pStyle w:val="ConsPlusNormal"/>
              <w:jc w:val="center"/>
            </w:pPr>
            <w:r>
              <w:t>3</w:t>
            </w:r>
          </w:p>
        </w:tc>
        <w:tc>
          <w:tcPr>
            <w:tcW w:w="3345" w:type="dxa"/>
          </w:tcPr>
          <w:p w:rsidR="00C9273E" w:rsidRDefault="00C9273E" w:rsidP="003C1B2C">
            <w:pPr>
              <w:pStyle w:val="ConsPlusNormal"/>
            </w:pPr>
            <w:r>
              <w:t>Средняя частота прекращений передачи электрической энергии на точку поставки (П</w:t>
            </w:r>
            <w:r>
              <w:rPr>
                <w:vertAlign w:val="subscript"/>
              </w:rPr>
              <w:t>saifi</w:t>
            </w:r>
            <w:r>
              <w:t>), шт.</w:t>
            </w:r>
          </w:p>
        </w:tc>
        <w:tc>
          <w:tcPr>
            <w:tcW w:w="5160" w:type="dxa"/>
          </w:tcPr>
          <w:p w:rsidR="00C9273E" w:rsidRDefault="00C9273E" w:rsidP="003C1B2C">
            <w:pPr>
              <w:pStyle w:val="ConsPlusNormal"/>
              <w:jc w:val="center"/>
            </w:pPr>
            <w:r>
              <w:t xml:space="preserve">Сумма по </w:t>
            </w:r>
            <w:hyperlink w:anchor="P3057" w:history="1">
              <w:r>
                <w:rPr>
                  <w:color w:val="0000FF"/>
                </w:rPr>
                <w:t>столбцу 13</w:t>
              </w:r>
            </w:hyperlink>
            <w:r>
              <w:t xml:space="preserve"> формы 8.1 и деленная на значение </w:t>
            </w:r>
            <w:hyperlink w:anchor="P739" w:history="1">
              <w:r>
                <w:rPr>
                  <w:color w:val="0000FF"/>
                </w:rPr>
                <w:t>пункта 1</w:t>
              </w:r>
            </w:hyperlink>
            <w:r>
              <w:t xml:space="preserve"> формы 1.3</w:t>
            </w:r>
          </w:p>
          <w:p w:rsidR="00C9273E" w:rsidRDefault="00C9273E" w:rsidP="003C1B2C">
            <w:pPr>
              <w:pStyle w:val="ConsPlusNormal"/>
              <w:jc w:val="center"/>
            </w:pPr>
            <w:r>
              <w:t>(</w:t>
            </w:r>
            <w:r>
              <w:rPr>
                <w:noProof/>
                <w:position w:val="-8"/>
              </w:rPr>
              <w:drawing>
                <wp:inline distT="0" distB="0" distL="0" distR="0">
                  <wp:extent cx="171450" cy="209550"/>
                  <wp:effectExtent l="0" t="0" r="0" b="0"/>
                  <wp:docPr id="3" name="Рисунок 3" descr="base_1_220786_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20786_14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vertAlign w:val="subscript"/>
              </w:rPr>
              <w:t>столбец 13 формы 8.1 / пункт 1 формы 1.3</w:t>
            </w:r>
            <w:r>
              <w:t>).</w:t>
            </w:r>
          </w:p>
          <w:p w:rsidR="00C9273E" w:rsidRDefault="00C9273E" w:rsidP="003C1B2C">
            <w:pPr>
              <w:pStyle w:val="ConsPlusNormal"/>
              <w:jc w:val="center"/>
            </w:pPr>
            <w:r>
              <w:t xml:space="preserve">При этом учитываются только события, по которым значения в </w:t>
            </w:r>
            <w:hyperlink w:anchor="P3052" w:history="1">
              <w:r>
                <w:rPr>
                  <w:color w:val="0000FF"/>
                </w:rPr>
                <w:t>столбце 8</w:t>
              </w:r>
            </w:hyperlink>
            <w:r>
              <w:t xml:space="preserve"> равны "В", а в </w:t>
            </w:r>
            <w:hyperlink w:anchor="P3071" w:history="1">
              <w:r>
                <w:rPr>
                  <w:color w:val="0000FF"/>
                </w:rPr>
                <w:t>столбце 27</w:t>
              </w:r>
            </w:hyperlink>
            <w:r>
              <w:t xml:space="preserve"> равны "1"</w:t>
            </w:r>
          </w:p>
          <w:p w:rsidR="009277E7" w:rsidRDefault="009277E7" w:rsidP="003C1B2C">
            <w:pPr>
              <w:pStyle w:val="ConsPlusNormal"/>
              <w:jc w:val="center"/>
            </w:pPr>
          </w:p>
          <w:p w:rsidR="009277E7" w:rsidRDefault="009277E7" w:rsidP="009277E7">
            <w:pPr>
              <w:pStyle w:val="ConsPlusNormal"/>
              <w:jc w:val="center"/>
            </w:pPr>
            <w:r>
              <w:rPr>
                <w:i/>
                <w:sz w:val="20"/>
              </w:rPr>
              <w:t>В связи с отсутствием индивидуального тарифа, договора на передачу электрической энергии, и как следствие, количества точек поставки, расчет прекращений передачи электрической энергии на точку поставки выполнить не представляется возможным.</w:t>
            </w:r>
          </w:p>
        </w:tc>
      </w:tr>
    </w:tbl>
    <w:p w:rsidR="00C9273E" w:rsidRDefault="00C9273E" w:rsidP="00C9273E">
      <w:pPr>
        <w:pStyle w:val="ConsPlusNormal"/>
        <w:jc w:val="both"/>
      </w:pPr>
    </w:p>
    <w:p w:rsidR="00C9273E" w:rsidRDefault="009277E7" w:rsidP="009277E7">
      <w:pPr>
        <w:pStyle w:val="ConsPlusNormal"/>
        <w:spacing w:before="120"/>
        <w:jc w:val="both"/>
        <w:rPr>
          <w:b/>
        </w:rPr>
      </w:pPr>
      <w:r w:rsidRPr="00EE64E5">
        <w:rPr>
          <w:b/>
        </w:rPr>
        <w:t xml:space="preserve">Генеральный директор                                                                                                     </w:t>
      </w:r>
      <w:r>
        <w:rPr>
          <w:b/>
        </w:rPr>
        <w:t>О.Н.Архипов</w:t>
      </w:r>
      <w:r w:rsidRPr="00EE64E5">
        <w:rPr>
          <w:b/>
        </w:rPr>
        <w:t xml:space="preserve">     </w:t>
      </w:r>
    </w:p>
    <w:p w:rsidR="00FD40B4" w:rsidRDefault="00FD40B4" w:rsidP="00DD0D06">
      <w:pPr>
        <w:spacing w:after="160"/>
        <w:ind w:left="0" w:firstLine="0"/>
        <w:jc w:val="right"/>
        <w:rPr>
          <w:i/>
          <w:u w:val="single"/>
        </w:rPr>
      </w:pPr>
    </w:p>
    <w:p w:rsidR="00FD40B4" w:rsidRDefault="00FD40B4" w:rsidP="00DD0D06">
      <w:pPr>
        <w:spacing w:after="160"/>
        <w:ind w:left="0" w:firstLine="0"/>
        <w:jc w:val="right"/>
        <w:rPr>
          <w:i/>
          <w:u w:val="single"/>
        </w:rPr>
      </w:pPr>
    </w:p>
    <w:p w:rsidR="00DD0D06" w:rsidRDefault="00DD0D06" w:rsidP="00DD0D06">
      <w:pPr>
        <w:spacing w:after="160"/>
        <w:ind w:left="0" w:firstLine="0"/>
        <w:jc w:val="right"/>
      </w:pPr>
      <w:r w:rsidRPr="00DD0D06">
        <w:rPr>
          <w:i/>
          <w:u w:val="single"/>
        </w:rPr>
        <w:t>Форма 3.1.</w:t>
      </w:r>
      <w:r>
        <w:t xml:space="preserve"> </w:t>
      </w:r>
    </w:p>
    <w:p w:rsidR="00382034" w:rsidRDefault="00382034" w:rsidP="00DD0D06">
      <w:pPr>
        <w:spacing w:after="160"/>
        <w:ind w:left="0" w:firstLine="0"/>
        <w:jc w:val="right"/>
      </w:pPr>
    </w:p>
    <w:p w:rsidR="00DD0D06" w:rsidRPr="00DD0D06" w:rsidRDefault="00DD0D06" w:rsidP="00DD0D06">
      <w:pPr>
        <w:spacing w:after="0"/>
        <w:ind w:left="0" w:firstLine="0"/>
        <w:jc w:val="center"/>
        <w:rPr>
          <w:rFonts w:ascii="Calibri" w:hAnsi="Calibri" w:cs="Calibri"/>
          <w:color w:val="auto"/>
          <w:sz w:val="22"/>
          <w:szCs w:val="20"/>
        </w:rPr>
      </w:pPr>
      <w:r w:rsidRPr="00DD0D06">
        <w:rPr>
          <w:rFonts w:ascii="Calibri" w:hAnsi="Calibri" w:cs="Calibri"/>
          <w:color w:val="auto"/>
          <w:sz w:val="22"/>
          <w:szCs w:val="20"/>
        </w:rPr>
        <w:t>Отчетные данные для расчета значения показателя</w:t>
      </w:r>
    </w:p>
    <w:p w:rsidR="00DD0D06" w:rsidRPr="00DD0D06" w:rsidRDefault="00DD0D06" w:rsidP="00DD0D06">
      <w:pPr>
        <w:spacing w:after="0"/>
        <w:ind w:left="0" w:firstLine="0"/>
        <w:jc w:val="center"/>
        <w:rPr>
          <w:rFonts w:ascii="Calibri" w:hAnsi="Calibri" w:cs="Calibri"/>
          <w:color w:val="auto"/>
          <w:sz w:val="22"/>
          <w:szCs w:val="20"/>
        </w:rPr>
      </w:pPr>
      <w:r w:rsidRPr="00DD0D06">
        <w:rPr>
          <w:rFonts w:ascii="Calibri" w:hAnsi="Calibri" w:cs="Calibri"/>
          <w:color w:val="auto"/>
          <w:sz w:val="22"/>
          <w:szCs w:val="20"/>
        </w:rPr>
        <w:t>качества рассмотрения заявок на технологическое</w:t>
      </w:r>
    </w:p>
    <w:p w:rsidR="00DD0D06" w:rsidRDefault="00DD0D06" w:rsidP="00DD0D06">
      <w:pPr>
        <w:spacing w:after="0"/>
        <w:ind w:left="0" w:firstLine="0"/>
        <w:jc w:val="center"/>
        <w:rPr>
          <w:rFonts w:ascii="Calibri" w:hAnsi="Calibri" w:cs="Calibri"/>
          <w:color w:val="auto"/>
          <w:sz w:val="22"/>
          <w:szCs w:val="20"/>
        </w:rPr>
      </w:pPr>
      <w:r w:rsidRPr="00DD0D06">
        <w:rPr>
          <w:rFonts w:ascii="Calibri" w:hAnsi="Calibri" w:cs="Calibri"/>
          <w:color w:val="auto"/>
          <w:sz w:val="22"/>
          <w:szCs w:val="20"/>
        </w:rPr>
        <w:t xml:space="preserve">присоединение к сети в период </w:t>
      </w:r>
      <w:r>
        <w:rPr>
          <w:rFonts w:ascii="Calibri" w:hAnsi="Calibri" w:cs="Calibri"/>
          <w:color w:val="auto"/>
          <w:sz w:val="22"/>
          <w:szCs w:val="20"/>
        </w:rPr>
        <w:t xml:space="preserve"> </w:t>
      </w:r>
      <w:r w:rsidRPr="00DD0D06">
        <w:rPr>
          <w:rFonts w:ascii="Calibri" w:hAnsi="Calibri" w:cs="Calibri"/>
          <w:i/>
          <w:color w:val="auto"/>
          <w:sz w:val="20"/>
          <w:szCs w:val="20"/>
          <w:u w:val="single"/>
        </w:rPr>
        <w:t>ранее деятельность не осуществлялась</w:t>
      </w:r>
    </w:p>
    <w:p w:rsidR="00DD0D06" w:rsidRPr="00DD0D06" w:rsidRDefault="00DD0D06" w:rsidP="00DD0D06">
      <w:pPr>
        <w:spacing w:after="0"/>
        <w:ind w:left="0" w:firstLine="0"/>
        <w:jc w:val="center"/>
        <w:rPr>
          <w:rFonts w:ascii="Calibri" w:hAnsi="Calibri" w:cs="Calibri"/>
          <w:color w:val="auto"/>
          <w:sz w:val="22"/>
          <w:szCs w:val="20"/>
        </w:rPr>
      </w:pPr>
    </w:p>
    <w:p w:rsidR="00DD0D06" w:rsidRPr="005E4B0C" w:rsidRDefault="00DD0D06" w:rsidP="00DD0D06">
      <w:pPr>
        <w:pStyle w:val="ConsPlusNormal"/>
        <w:pBdr>
          <w:bottom w:val="single" w:sz="4" w:space="10" w:color="auto"/>
        </w:pBdr>
        <w:spacing w:before="120"/>
        <w:ind w:firstLine="709"/>
        <w:jc w:val="center"/>
        <w:rPr>
          <w:b/>
          <w:sz w:val="28"/>
          <w:szCs w:val="28"/>
        </w:rPr>
      </w:pPr>
      <w:r w:rsidRPr="005E4B0C">
        <w:rPr>
          <w:b/>
          <w:sz w:val="28"/>
          <w:szCs w:val="28"/>
        </w:rPr>
        <w:t>ООО «Самолет-Прогресс»</w:t>
      </w:r>
    </w:p>
    <w:p w:rsidR="00DD0D06" w:rsidRDefault="00DD0D06" w:rsidP="00DD0D06">
      <w:pPr>
        <w:pStyle w:val="ConsPlusNormal"/>
        <w:ind w:firstLine="708"/>
        <w:jc w:val="both"/>
      </w:pPr>
    </w:p>
    <w:p w:rsidR="00DD0D06" w:rsidRDefault="00DD0D06" w:rsidP="00DD0D0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DD0D06" w:rsidTr="003C1B2C">
        <w:tc>
          <w:tcPr>
            <w:tcW w:w="7540" w:type="dxa"/>
          </w:tcPr>
          <w:p w:rsidR="00DD0D06" w:rsidRDefault="00DD0D06" w:rsidP="003C1B2C">
            <w:pPr>
              <w:pStyle w:val="ConsPlusNormal"/>
              <w:jc w:val="center"/>
            </w:pPr>
            <w:r>
              <w:t>Показатель</w:t>
            </w:r>
          </w:p>
        </w:tc>
        <w:tc>
          <w:tcPr>
            <w:tcW w:w="1531" w:type="dxa"/>
          </w:tcPr>
          <w:p w:rsidR="00DD0D06" w:rsidRDefault="00DD0D06" w:rsidP="003C1B2C">
            <w:pPr>
              <w:pStyle w:val="ConsPlusNormal"/>
              <w:jc w:val="center"/>
            </w:pPr>
            <w:r>
              <w:t>Число, шт.</w:t>
            </w:r>
          </w:p>
        </w:tc>
      </w:tr>
      <w:tr w:rsidR="00DD0D06" w:rsidTr="003C1B2C">
        <w:tc>
          <w:tcPr>
            <w:tcW w:w="7540" w:type="dxa"/>
          </w:tcPr>
          <w:p w:rsidR="00DD0D06" w:rsidRDefault="00DD0D06" w:rsidP="003C1B2C">
            <w:pPr>
              <w:pStyle w:val="ConsPlusNormal"/>
              <w:jc w:val="center"/>
            </w:pPr>
            <w:r>
              <w:t>1</w:t>
            </w:r>
          </w:p>
        </w:tc>
        <w:tc>
          <w:tcPr>
            <w:tcW w:w="1531" w:type="dxa"/>
          </w:tcPr>
          <w:p w:rsidR="00DD0D06" w:rsidRDefault="00DD0D06" w:rsidP="003C1B2C">
            <w:pPr>
              <w:pStyle w:val="ConsPlusNormal"/>
              <w:jc w:val="center"/>
            </w:pPr>
            <w:r>
              <w:t>2</w:t>
            </w:r>
          </w:p>
        </w:tc>
      </w:tr>
      <w:tr w:rsidR="00DD0D06" w:rsidTr="003C1B2C">
        <w:tc>
          <w:tcPr>
            <w:tcW w:w="7540" w:type="dxa"/>
          </w:tcPr>
          <w:p w:rsidR="00DD0D06" w:rsidRDefault="00DD0D06" w:rsidP="003C1B2C">
            <w:pPr>
              <w:pStyle w:val="ConsPlusNormal"/>
              <w:jc w:val="both"/>
            </w:pPr>
            <w: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(N</w:t>
            </w:r>
            <w:r>
              <w:rPr>
                <w:vertAlign w:val="subscript"/>
              </w:rPr>
              <w:t>заяв тпр</w:t>
            </w:r>
            <w:r>
              <w:t>)</w:t>
            </w:r>
          </w:p>
        </w:tc>
        <w:tc>
          <w:tcPr>
            <w:tcW w:w="1531" w:type="dxa"/>
          </w:tcPr>
          <w:p w:rsidR="00DD0D06" w:rsidRPr="00382034" w:rsidRDefault="00DD0D06" w:rsidP="00DD0D06">
            <w:pPr>
              <w:pStyle w:val="ConsPlusNormal"/>
              <w:jc w:val="center"/>
              <w:rPr>
                <w:i/>
              </w:rPr>
            </w:pPr>
            <w:r w:rsidRPr="00382034">
              <w:rPr>
                <w:i/>
              </w:rPr>
              <w:t>Информация отсутствует</w:t>
            </w:r>
          </w:p>
        </w:tc>
      </w:tr>
      <w:tr w:rsidR="00DD0D06" w:rsidTr="003C1B2C">
        <w:tc>
          <w:tcPr>
            <w:tcW w:w="7540" w:type="dxa"/>
          </w:tcPr>
          <w:p w:rsidR="00DD0D06" w:rsidRDefault="00DD0D06" w:rsidP="00DD0D06">
            <w:pPr>
              <w:pStyle w:val="ConsPlusNormal"/>
              <w:jc w:val="both"/>
            </w:pPr>
            <w: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 (N</w:t>
            </w:r>
            <w:r>
              <w:rPr>
                <w:vertAlign w:val="superscript"/>
              </w:rPr>
              <w:t>нс</w:t>
            </w:r>
            <w:r>
              <w:rPr>
                <w:vertAlign w:val="subscript"/>
              </w:rPr>
              <w:t>заяв тпр</w:t>
            </w:r>
            <w:r>
              <w:t>)</w:t>
            </w:r>
          </w:p>
        </w:tc>
        <w:tc>
          <w:tcPr>
            <w:tcW w:w="1531" w:type="dxa"/>
          </w:tcPr>
          <w:p w:rsidR="00DD0D06" w:rsidRPr="00382034" w:rsidRDefault="00DD0D06" w:rsidP="00DD0D06">
            <w:pPr>
              <w:pStyle w:val="ConsPlusNormal"/>
              <w:jc w:val="center"/>
              <w:rPr>
                <w:i/>
              </w:rPr>
            </w:pPr>
            <w:r w:rsidRPr="00382034">
              <w:rPr>
                <w:i/>
              </w:rPr>
              <w:t>Информация отсутствует</w:t>
            </w:r>
          </w:p>
        </w:tc>
      </w:tr>
      <w:tr w:rsidR="00DD0D06" w:rsidTr="003C1B2C">
        <w:tc>
          <w:tcPr>
            <w:tcW w:w="7540" w:type="dxa"/>
          </w:tcPr>
          <w:p w:rsidR="00DD0D06" w:rsidRDefault="00DD0D06" w:rsidP="00DD0D06">
            <w:pPr>
              <w:pStyle w:val="ConsPlusNormal"/>
              <w:jc w:val="both"/>
            </w:pPr>
            <w:r>
              <w:t>Показатель качества рассмотрения заявок на технологическое присоединение к сети (П</w:t>
            </w:r>
            <w:r>
              <w:rPr>
                <w:vertAlign w:val="subscript"/>
              </w:rPr>
              <w:t>заяв тпр</w:t>
            </w:r>
            <w:r>
              <w:t>)</w:t>
            </w:r>
          </w:p>
        </w:tc>
        <w:tc>
          <w:tcPr>
            <w:tcW w:w="1531" w:type="dxa"/>
          </w:tcPr>
          <w:p w:rsidR="00DD0D06" w:rsidRPr="00382034" w:rsidRDefault="00DD0D06" w:rsidP="00DD0D06">
            <w:pPr>
              <w:pStyle w:val="ConsPlusNormal"/>
              <w:jc w:val="center"/>
              <w:rPr>
                <w:i/>
              </w:rPr>
            </w:pPr>
            <w:r w:rsidRPr="00382034">
              <w:rPr>
                <w:i/>
              </w:rPr>
              <w:t>Информация отсутствует</w:t>
            </w:r>
          </w:p>
        </w:tc>
      </w:tr>
    </w:tbl>
    <w:p w:rsidR="00DD0D06" w:rsidRDefault="00DD0D06" w:rsidP="00DD0D06">
      <w:pPr>
        <w:pStyle w:val="ConsPlusNormal"/>
        <w:jc w:val="both"/>
      </w:pPr>
    </w:p>
    <w:p w:rsidR="00DD0D06" w:rsidRDefault="00DD0D06" w:rsidP="00DD0D06">
      <w:pPr>
        <w:pStyle w:val="ConsPlusNormal"/>
        <w:spacing w:before="120"/>
        <w:jc w:val="both"/>
        <w:rPr>
          <w:b/>
        </w:rPr>
      </w:pPr>
    </w:p>
    <w:p w:rsidR="00DD0D06" w:rsidRDefault="00DD0D06" w:rsidP="00DD0D06">
      <w:pPr>
        <w:pStyle w:val="ConsPlusNormal"/>
        <w:spacing w:before="120"/>
        <w:jc w:val="both"/>
        <w:rPr>
          <w:b/>
        </w:rPr>
      </w:pPr>
      <w:r w:rsidRPr="00EE64E5">
        <w:rPr>
          <w:b/>
        </w:rPr>
        <w:t xml:space="preserve">Генеральный директор                                                                                                     </w:t>
      </w:r>
      <w:r>
        <w:rPr>
          <w:b/>
        </w:rPr>
        <w:t>О.Н.Архипов</w:t>
      </w:r>
      <w:r w:rsidRPr="00EE64E5">
        <w:rPr>
          <w:b/>
        </w:rPr>
        <w:t xml:space="preserve">     </w:t>
      </w:r>
    </w:p>
    <w:p w:rsidR="00382034" w:rsidRDefault="00382034">
      <w:pPr>
        <w:spacing w:after="160"/>
        <w:ind w:left="0" w:firstLine="0"/>
        <w:jc w:val="left"/>
        <w:rPr>
          <w:rFonts w:ascii="Calibri" w:hAnsi="Calibri" w:cs="Calibri"/>
          <w:b/>
          <w:color w:val="auto"/>
          <w:sz w:val="22"/>
          <w:szCs w:val="20"/>
        </w:rPr>
      </w:pPr>
      <w:r>
        <w:rPr>
          <w:b/>
        </w:rPr>
        <w:br w:type="page"/>
      </w:r>
    </w:p>
    <w:p w:rsidR="00FD40B4" w:rsidRDefault="00FD40B4" w:rsidP="00382034">
      <w:pPr>
        <w:pStyle w:val="ConsPlusNonformat"/>
        <w:jc w:val="right"/>
        <w:rPr>
          <w:rFonts w:ascii="Times New Roman" w:hAnsi="Times New Roman" w:cs="Times New Roman"/>
          <w:i/>
          <w:color w:val="000000"/>
          <w:sz w:val="24"/>
          <w:szCs w:val="22"/>
          <w:u w:val="single"/>
        </w:rPr>
      </w:pPr>
    </w:p>
    <w:p w:rsidR="00FD40B4" w:rsidRDefault="00FD40B4" w:rsidP="00382034">
      <w:pPr>
        <w:pStyle w:val="ConsPlusNonformat"/>
        <w:jc w:val="right"/>
        <w:rPr>
          <w:rFonts w:ascii="Times New Roman" w:hAnsi="Times New Roman" w:cs="Times New Roman"/>
          <w:i/>
          <w:color w:val="000000"/>
          <w:sz w:val="24"/>
          <w:szCs w:val="22"/>
          <w:u w:val="single"/>
        </w:rPr>
      </w:pPr>
    </w:p>
    <w:p w:rsidR="00382034" w:rsidRDefault="00382034" w:rsidP="00382034">
      <w:pPr>
        <w:pStyle w:val="ConsPlusNonformat"/>
        <w:jc w:val="right"/>
      </w:pPr>
      <w:r w:rsidRPr="00382034">
        <w:rPr>
          <w:rFonts w:ascii="Times New Roman" w:hAnsi="Times New Roman" w:cs="Times New Roman"/>
          <w:i/>
          <w:color w:val="000000"/>
          <w:sz w:val="24"/>
          <w:szCs w:val="22"/>
          <w:u w:val="single"/>
        </w:rPr>
        <w:t>Форма 3.2.</w:t>
      </w:r>
      <w:r>
        <w:t xml:space="preserve"> </w:t>
      </w:r>
    </w:p>
    <w:p w:rsidR="00382034" w:rsidRDefault="00382034" w:rsidP="00382034">
      <w:pPr>
        <w:pStyle w:val="ConsPlusNonformat"/>
        <w:jc w:val="right"/>
      </w:pPr>
    </w:p>
    <w:p w:rsidR="00382034" w:rsidRPr="00382034" w:rsidRDefault="00382034" w:rsidP="00382034">
      <w:pPr>
        <w:spacing w:after="0"/>
        <w:ind w:left="0" w:firstLine="0"/>
        <w:jc w:val="center"/>
        <w:rPr>
          <w:rFonts w:ascii="Calibri" w:hAnsi="Calibri" w:cs="Calibri"/>
          <w:color w:val="auto"/>
          <w:sz w:val="22"/>
          <w:szCs w:val="20"/>
        </w:rPr>
      </w:pPr>
      <w:r w:rsidRPr="00382034">
        <w:rPr>
          <w:rFonts w:ascii="Calibri" w:hAnsi="Calibri" w:cs="Calibri"/>
          <w:color w:val="auto"/>
          <w:sz w:val="22"/>
          <w:szCs w:val="20"/>
        </w:rPr>
        <w:t>Отчетные данные для расчета значения</w:t>
      </w:r>
    </w:p>
    <w:p w:rsidR="00382034" w:rsidRPr="00382034" w:rsidRDefault="00382034" w:rsidP="00382034">
      <w:pPr>
        <w:spacing w:after="0"/>
        <w:ind w:left="0" w:firstLine="0"/>
        <w:jc w:val="center"/>
        <w:rPr>
          <w:rFonts w:ascii="Calibri" w:hAnsi="Calibri" w:cs="Calibri"/>
          <w:color w:val="auto"/>
          <w:sz w:val="22"/>
          <w:szCs w:val="20"/>
        </w:rPr>
      </w:pPr>
      <w:r w:rsidRPr="00382034">
        <w:rPr>
          <w:rFonts w:ascii="Calibri" w:hAnsi="Calibri" w:cs="Calibri"/>
          <w:color w:val="auto"/>
          <w:sz w:val="22"/>
          <w:szCs w:val="20"/>
        </w:rPr>
        <w:t xml:space="preserve">         показателя качества исполнения договоров об осуществлении</w:t>
      </w:r>
    </w:p>
    <w:p w:rsidR="00382034" w:rsidRPr="00382034" w:rsidRDefault="00382034" w:rsidP="00382034">
      <w:pPr>
        <w:spacing w:after="0"/>
        <w:ind w:left="0" w:firstLine="0"/>
        <w:jc w:val="center"/>
        <w:rPr>
          <w:rFonts w:ascii="Calibri" w:hAnsi="Calibri" w:cs="Calibri"/>
          <w:color w:val="auto"/>
          <w:sz w:val="22"/>
          <w:szCs w:val="20"/>
        </w:rPr>
      </w:pPr>
      <w:r w:rsidRPr="00382034">
        <w:rPr>
          <w:rFonts w:ascii="Calibri" w:hAnsi="Calibri" w:cs="Calibri"/>
          <w:color w:val="auto"/>
          <w:sz w:val="22"/>
          <w:szCs w:val="20"/>
        </w:rPr>
        <w:t xml:space="preserve">             технологического присоединения заявителей к сети,</w:t>
      </w:r>
    </w:p>
    <w:p w:rsidR="00382034" w:rsidRPr="00382034" w:rsidRDefault="00382034" w:rsidP="00382034">
      <w:pPr>
        <w:spacing w:after="0"/>
        <w:ind w:left="0" w:firstLine="0"/>
        <w:jc w:val="center"/>
        <w:rPr>
          <w:rFonts w:ascii="Calibri" w:hAnsi="Calibri" w:cs="Calibri"/>
          <w:color w:val="auto"/>
          <w:sz w:val="22"/>
          <w:szCs w:val="20"/>
        </w:rPr>
      </w:pPr>
      <w:r w:rsidRPr="00382034">
        <w:rPr>
          <w:rFonts w:ascii="Calibri" w:hAnsi="Calibri" w:cs="Calibri"/>
          <w:color w:val="auto"/>
          <w:sz w:val="22"/>
          <w:szCs w:val="20"/>
        </w:rPr>
        <w:t xml:space="preserve">                              в период </w:t>
      </w:r>
      <w:r w:rsidRPr="00DD0D06">
        <w:rPr>
          <w:rFonts w:ascii="Calibri" w:hAnsi="Calibri" w:cs="Calibri"/>
          <w:i/>
          <w:color w:val="auto"/>
          <w:sz w:val="20"/>
          <w:szCs w:val="20"/>
          <w:u w:val="single"/>
        </w:rPr>
        <w:t>ранее деятельность не осуществлялась</w:t>
      </w:r>
    </w:p>
    <w:p w:rsidR="00382034" w:rsidRDefault="00382034" w:rsidP="00382034">
      <w:pPr>
        <w:pStyle w:val="ConsPlusNormal"/>
        <w:pBdr>
          <w:bottom w:val="single" w:sz="4" w:space="10" w:color="auto"/>
        </w:pBdr>
        <w:spacing w:before="120"/>
        <w:ind w:firstLine="709"/>
        <w:jc w:val="center"/>
        <w:rPr>
          <w:b/>
          <w:sz w:val="28"/>
          <w:szCs w:val="28"/>
        </w:rPr>
      </w:pPr>
    </w:p>
    <w:p w:rsidR="00382034" w:rsidRPr="005E4B0C" w:rsidRDefault="00382034" w:rsidP="00382034">
      <w:pPr>
        <w:pStyle w:val="ConsPlusNormal"/>
        <w:pBdr>
          <w:bottom w:val="single" w:sz="4" w:space="10" w:color="auto"/>
        </w:pBdr>
        <w:spacing w:before="120"/>
        <w:ind w:firstLine="709"/>
        <w:jc w:val="center"/>
        <w:rPr>
          <w:b/>
          <w:sz w:val="28"/>
          <w:szCs w:val="28"/>
        </w:rPr>
      </w:pPr>
      <w:r w:rsidRPr="005E4B0C">
        <w:rPr>
          <w:b/>
          <w:sz w:val="28"/>
          <w:szCs w:val="28"/>
        </w:rPr>
        <w:t>ООО «Самолет-Прогресс»</w:t>
      </w:r>
    </w:p>
    <w:p w:rsidR="00382034" w:rsidRDefault="00382034" w:rsidP="00382034">
      <w:pPr>
        <w:pStyle w:val="ConsPlusNormal"/>
        <w:ind w:firstLine="708"/>
        <w:jc w:val="both"/>
      </w:pPr>
    </w:p>
    <w:p w:rsidR="00382034" w:rsidRDefault="00382034" w:rsidP="0038203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382034" w:rsidTr="003C1B2C">
        <w:tc>
          <w:tcPr>
            <w:tcW w:w="7540" w:type="dxa"/>
          </w:tcPr>
          <w:p w:rsidR="00382034" w:rsidRDefault="00382034" w:rsidP="003C1B2C">
            <w:pPr>
              <w:pStyle w:val="ConsPlusNormal"/>
              <w:jc w:val="center"/>
            </w:pPr>
            <w:r>
              <w:t>Показатель</w:t>
            </w:r>
          </w:p>
        </w:tc>
        <w:tc>
          <w:tcPr>
            <w:tcW w:w="1531" w:type="dxa"/>
          </w:tcPr>
          <w:p w:rsidR="00382034" w:rsidRDefault="00382034" w:rsidP="003C1B2C">
            <w:pPr>
              <w:pStyle w:val="ConsPlusNormal"/>
              <w:jc w:val="center"/>
            </w:pPr>
            <w:r>
              <w:t>Число, шт.</w:t>
            </w:r>
          </w:p>
        </w:tc>
      </w:tr>
      <w:tr w:rsidR="00382034" w:rsidTr="003C1B2C">
        <w:tc>
          <w:tcPr>
            <w:tcW w:w="7540" w:type="dxa"/>
          </w:tcPr>
          <w:p w:rsidR="00382034" w:rsidRDefault="00382034" w:rsidP="003C1B2C">
            <w:pPr>
              <w:pStyle w:val="ConsPlusNormal"/>
              <w:jc w:val="center"/>
            </w:pPr>
            <w:r>
              <w:t>1</w:t>
            </w:r>
          </w:p>
        </w:tc>
        <w:tc>
          <w:tcPr>
            <w:tcW w:w="1531" w:type="dxa"/>
          </w:tcPr>
          <w:p w:rsidR="00382034" w:rsidRDefault="00382034" w:rsidP="003C1B2C">
            <w:pPr>
              <w:pStyle w:val="ConsPlusNormal"/>
              <w:jc w:val="center"/>
            </w:pPr>
            <w:r>
              <w:t>2</w:t>
            </w:r>
          </w:p>
        </w:tc>
      </w:tr>
      <w:tr w:rsidR="00382034" w:rsidTr="003C1B2C">
        <w:tc>
          <w:tcPr>
            <w:tcW w:w="7540" w:type="dxa"/>
          </w:tcPr>
          <w:p w:rsidR="00382034" w:rsidRDefault="00382034" w:rsidP="00382034">
            <w:pPr>
              <w:pStyle w:val="ConsPlusNormal"/>
              <w:jc w:val="both"/>
            </w:pPr>
            <w: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(N</w:t>
            </w:r>
            <w:r>
              <w:rPr>
                <w:vertAlign w:val="subscript"/>
              </w:rPr>
              <w:t>сд тпр</w:t>
            </w:r>
            <w:r>
              <w:t>)</w:t>
            </w:r>
          </w:p>
        </w:tc>
        <w:tc>
          <w:tcPr>
            <w:tcW w:w="1531" w:type="dxa"/>
          </w:tcPr>
          <w:p w:rsidR="00382034" w:rsidRPr="00382034" w:rsidRDefault="00382034" w:rsidP="00382034">
            <w:pPr>
              <w:ind w:left="0" w:firstLine="0"/>
              <w:rPr>
                <w:rFonts w:ascii="Calibri" w:hAnsi="Calibri" w:cs="Calibri"/>
                <w:i/>
                <w:color w:val="auto"/>
                <w:sz w:val="22"/>
                <w:szCs w:val="20"/>
              </w:rPr>
            </w:pPr>
            <w:r w:rsidRPr="00382034">
              <w:rPr>
                <w:rFonts w:ascii="Calibri" w:hAnsi="Calibri" w:cs="Calibri"/>
                <w:i/>
                <w:color w:val="auto"/>
                <w:sz w:val="22"/>
                <w:szCs w:val="20"/>
              </w:rPr>
              <w:t>Информация отсутствует</w:t>
            </w:r>
          </w:p>
        </w:tc>
      </w:tr>
      <w:tr w:rsidR="00382034" w:rsidTr="003C1B2C">
        <w:tc>
          <w:tcPr>
            <w:tcW w:w="7540" w:type="dxa"/>
          </w:tcPr>
          <w:p w:rsidR="00382034" w:rsidRDefault="00382034" w:rsidP="00382034">
            <w:pPr>
              <w:pStyle w:val="ConsPlusNormal"/>
              <w:jc w:val="both"/>
            </w:pPr>
            <w: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(N</w:t>
            </w:r>
            <w:r>
              <w:rPr>
                <w:vertAlign w:val="superscript"/>
              </w:rPr>
              <w:t>нс</w:t>
            </w:r>
            <w:r>
              <w:rPr>
                <w:vertAlign w:val="subscript"/>
              </w:rPr>
              <w:t>сд тпр</w:t>
            </w:r>
            <w:r>
              <w:t>)</w:t>
            </w:r>
          </w:p>
        </w:tc>
        <w:tc>
          <w:tcPr>
            <w:tcW w:w="1531" w:type="dxa"/>
          </w:tcPr>
          <w:p w:rsidR="00382034" w:rsidRPr="00382034" w:rsidRDefault="00382034" w:rsidP="00382034">
            <w:pPr>
              <w:ind w:left="0" w:firstLine="0"/>
              <w:rPr>
                <w:rFonts w:ascii="Calibri" w:hAnsi="Calibri" w:cs="Calibri"/>
                <w:i/>
                <w:color w:val="auto"/>
                <w:sz w:val="22"/>
                <w:szCs w:val="20"/>
              </w:rPr>
            </w:pPr>
            <w:r w:rsidRPr="00382034">
              <w:rPr>
                <w:rFonts w:ascii="Calibri" w:hAnsi="Calibri" w:cs="Calibri"/>
                <w:i/>
                <w:color w:val="auto"/>
                <w:sz w:val="22"/>
                <w:szCs w:val="20"/>
              </w:rPr>
              <w:t>Информация отсутствует</w:t>
            </w:r>
          </w:p>
        </w:tc>
      </w:tr>
      <w:tr w:rsidR="00382034" w:rsidTr="003C1B2C">
        <w:tc>
          <w:tcPr>
            <w:tcW w:w="7540" w:type="dxa"/>
          </w:tcPr>
          <w:p w:rsidR="00382034" w:rsidRDefault="00382034" w:rsidP="00382034">
            <w:pPr>
              <w:pStyle w:val="ConsPlusNormal"/>
              <w:jc w:val="both"/>
            </w:pPr>
            <w:r>
              <w:t>Показатель качества исполнения договоров об осуществлении технологического присоединения заявителей к сети (П</w:t>
            </w:r>
            <w:r>
              <w:rPr>
                <w:vertAlign w:val="subscript"/>
              </w:rPr>
              <w:t>нс тпр</w:t>
            </w:r>
            <w:r>
              <w:t>)</w:t>
            </w:r>
          </w:p>
        </w:tc>
        <w:tc>
          <w:tcPr>
            <w:tcW w:w="1531" w:type="dxa"/>
          </w:tcPr>
          <w:p w:rsidR="00382034" w:rsidRPr="00382034" w:rsidRDefault="00382034" w:rsidP="00382034">
            <w:pPr>
              <w:ind w:left="0" w:firstLine="0"/>
              <w:rPr>
                <w:rFonts w:ascii="Calibri" w:hAnsi="Calibri" w:cs="Calibri"/>
                <w:i/>
                <w:color w:val="auto"/>
                <w:sz w:val="22"/>
                <w:szCs w:val="20"/>
              </w:rPr>
            </w:pPr>
            <w:r w:rsidRPr="00382034">
              <w:rPr>
                <w:rFonts w:ascii="Calibri" w:hAnsi="Calibri" w:cs="Calibri"/>
                <w:i/>
                <w:color w:val="auto"/>
                <w:sz w:val="22"/>
                <w:szCs w:val="20"/>
              </w:rPr>
              <w:t>Информация отсутствует</w:t>
            </w:r>
          </w:p>
        </w:tc>
      </w:tr>
    </w:tbl>
    <w:p w:rsidR="00382034" w:rsidRDefault="00382034" w:rsidP="00382034">
      <w:pPr>
        <w:pStyle w:val="ConsPlusNormal"/>
        <w:jc w:val="both"/>
      </w:pPr>
    </w:p>
    <w:p w:rsidR="00382034" w:rsidRDefault="00382034" w:rsidP="00DD0D06">
      <w:pPr>
        <w:pStyle w:val="ConsPlusNormal"/>
        <w:spacing w:before="120"/>
        <w:jc w:val="both"/>
        <w:rPr>
          <w:b/>
        </w:rPr>
      </w:pPr>
    </w:p>
    <w:p w:rsidR="00382034" w:rsidRDefault="00382034" w:rsidP="00382034">
      <w:pPr>
        <w:pStyle w:val="ConsPlusNormal"/>
        <w:spacing w:before="120"/>
        <w:jc w:val="both"/>
        <w:rPr>
          <w:b/>
        </w:rPr>
      </w:pPr>
      <w:r w:rsidRPr="00EE64E5">
        <w:rPr>
          <w:b/>
        </w:rPr>
        <w:t xml:space="preserve">Генеральный директор                                                                                                     </w:t>
      </w:r>
      <w:r>
        <w:rPr>
          <w:b/>
        </w:rPr>
        <w:t>О.Н.Архипов</w:t>
      </w:r>
      <w:r w:rsidRPr="00EE64E5">
        <w:rPr>
          <w:b/>
        </w:rPr>
        <w:t xml:space="preserve">     </w:t>
      </w:r>
    </w:p>
    <w:p w:rsidR="007516AE" w:rsidRDefault="00A6022E" w:rsidP="00972FD4">
      <w:pPr>
        <w:spacing w:after="160"/>
        <w:ind w:left="0" w:firstLine="0"/>
        <w:jc w:val="right"/>
        <w:rPr>
          <w:rFonts w:ascii="Courier New" w:hAnsi="Courier New" w:cs="Courier New"/>
          <w:color w:val="auto"/>
          <w:sz w:val="20"/>
          <w:szCs w:val="20"/>
        </w:rPr>
      </w:pPr>
      <w:r>
        <w:br w:type="page"/>
      </w:r>
    </w:p>
    <w:p w:rsidR="002B6906" w:rsidRDefault="002C4D6B" w:rsidP="002B6906">
      <w:pPr>
        <w:pStyle w:val="ConsPlusNonformat"/>
        <w:jc w:val="right"/>
        <w:rPr>
          <w:rFonts w:ascii="Calibri" w:hAnsi="Calibri" w:cs="Calibri"/>
          <w:i/>
          <w:sz w:val="22"/>
          <w:u w:val="single"/>
        </w:rPr>
      </w:pPr>
      <w:r w:rsidRPr="002B6906">
        <w:rPr>
          <w:rFonts w:ascii="Calibri" w:hAnsi="Calibri" w:cs="Calibri"/>
          <w:i/>
          <w:sz w:val="22"/>
          <w:u w:val="single"/>
        </w:rPr>
        <w:t>Форма 4.1.</w:t>
      </w:r>
    </w:p>
    <w:p w:rsidR="002B6906" w:rsidRDefault="002C4D6B" w:rsidP="002B6906">
      <w:pPr>
        <w:pStyle w:val="ConsPlusNormal"/>
        <w:ind w:firstLine="708"/>
        <w:jc w:val="center"/>
      </w:pPr>
      <w:r>
        <w:t xml:space="preserve"> Показатели уровня надежности и уровня качества</w:t>
      </w:r>
      <w:r w:rsidR="002B6906">
        <w:t xml:space="preserve"> </w:t>
      </w:r>
      <w:r>
        <w:t xml:space="preserve">оказываемых услуг </w:t>
      </w:r>
    </w:p>
    <w:p w:rsidR="00063A42" w:rsidRDefault="002C4D6B" w:rsidP="00063A42">
      <w:pPr>
        <w:pStyle w:val="ConsPlusNormal"/>
        <w:ind w:firstLine="708"/>
        <w:jc w:val="center"/>
      </w:pPr>
      <w:r>
        <w:t>сетевой организации</w:t>
      </w:r>
    </w:p>
    <w:p w:rsidR="002C4D6B" w:rsidRDefault="002B6906" w:rsidP="00063A42">
      <w:pPr>
        <w:pStyle w:val="ConsPlusNormal"/>
        <w:spacing w:before="120" w:after="120"/>
        <w:ind w:firstLine="709"/>
        <w:jc w:val="center"/>
      </w:pPr>
      <w:r w:rsidRPr="005E4B0C">
        <w:rPr>
          <w:b/>
          <w:sz w:val="28"/>
          <w:szCs w:val="28"/>
        </w:rPr>
        <w:t>ООО «Самолет-Прогресс»</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835"/>
        <w:gridCol w:w="1849"/>
      </w:tblGrid>
      <w:tr w:rsidR="002C4D6B" w:rsidTr="00063A42">
        <w:trPr>
          <w:jc w:val="center"/>
        </w:trPr>
        <w:tc>
          <w:tcPr>
            <w:tcW w:w="5098" w:type="dxa"/>
          </w:tcPr>
          <w:p w:rsidR="002C4D6B" w:rsidRDefault="002C4D6B" w:rsidP="00C911F2">
            <w:pPr>
              <w:pStyle w:val="ConsPlusNormal"/>
              <w:jc w:val="center"/>
            </w:pPr>
            <w:r>
              <w:t>Показатель</w:t>
            </w:r>
          </w:p>
        </w:tc>
        <w:tc>
          <w:tcPr>
            <w:tcW w:w="2835" w:type="dxa"/>
          </w:tcPr>
          <w:p w:rsidR="002C4D6B" w:rsidRDefault="002C4D6B" w:rsidP="00C911F2">
            <w:pPr>
              <w:pStyle w:val="ConsPlusNormal"/>
              <w:jc w:val="center"/>
            </w:pPr>
            <w:r>
              <w:t>N формулы (пункта) методических указаний</w:t>
            </w:r>
          </w:p>
        </w:tc>
        <w:tc>
          <w:tcPr>
            <w:tcW w:w="1849" w:type="dxa"/>
          </w:tcPr>
          <w:p w:rsidR="002C4D6B" w:rsidRDefault="002C4D6B" w:rsidP="002B6906">
            <w:pPr>
              <w:pStyle w:val="ConsPlusNormal"/>
              <w:jc w:val="center"/>
            </w:pPr>
            <w:r>
              <w:t>Значение</w:t>
            </w:r>
          </w:p>
        </w:tc>
      </w:tr>
      <w:tr w:rsidR="002C4D6B" w:rsidTr="00063A42">
        <w:trPr>
          <w:jc w:val="center"/>
        </w:trPr>
        <w:tc>
          <w:tcPr>
            <w:tcW w:w="5098" w:type="dxa"/>
          </w:tcPr>
          <w:p w:rsidR="002C4D6B" w:rsidRDefault="002C4D6B" w:rsidP="00C911F2">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835" w:type="dxa"/>
          </w:tcPr>
          <w:p w:rsidR="002C4D6B" w:rsidRDefault="0089020B" w:rsidP="001C4F81">
            <w:pPr>
              <w:pStyle w:val="ConsPlusNormal"/>
              <w:jc w:val="center"/>
            </w:pPr>
            <w:hyperlink w:anchor="P74" w:history="1">
              <w:r w:rsidR="002C4D6B" w:rsidRPr="001C4F81">
                <w:t>1</w:t>
              </w:r>
            </w:hyperlink>
          </w:p>
        </w:tc>
        <w:tc>
          <w:tcPr>
            <w:tcW w:w="1849" w:type="dxa"/>
          </w:tcPr>
          <w:p w:rsidR="002C4D6B" w:rsidRDefault="00063A42" w:rsidP="002B6906">
            <w:pPr>
              <w:pStyle w:val="ConsPlusNormal"/>
              <w:jc w:val="center"/>
            </w:pPr>
            <w:r>
              <w:t>Не определен</w:t>
            </w:r>
          </w:p>
        </w:tc>
      </w:tr>
      <w:tr w:rsidR="00063A42" w:rsidTr="00063A42">
        <w:trPr>
          <w:jc w:val="center"/>
        </w:trPr>
        <w:tc>
          <w:tcPr>
            <w:tcW w:w="5098" w:type="dxa"/>
          </w:tcPr>
          <w:p w:rsidR="00063A42" w:rsidRDefault="00063A42" w:rsidP="00063A42">
            <w:pPr>
              <w:pStyle w:val="ConsPlusNormal"/>
            </w:pPr>
            <w:r>
              <w:t>Объем недоотпущенной электрической энергии (П</w:t>
            </w:r>
            <w:r>
              <w:rPr>
                <w:vertAlign w:val="subscript"/>
              </w:rPr>
              <w:t>ens</w:t>
            </w:r>
            <w:r>
              <w:t>)</w:t>
            </w:r>
          </w:p>
        </w:tc>
        <w:tc>
          <w:tcPr>
            <w:tcW w:w="2835" w:type="dxa"/>
          </w:tcPr>
          <w:p w:rsidR="00063A42" w:rsidRDefault="0089020B" w:rsidP="00063A42">
            <w:pPr>
              <w:pStyle w:val="ConsPlusNormal"/>
              <w:jc w:val="center"/>
            </w:pPr>
            <w:hyperlink w:anchor="P122" w:history="1">
              <w:r w:rsidR="00063A42" w:rsidRPr="001C4F81">
                <w:t>4</w:t>
              </w:r>
            </w:hyperlink>
          </w:p>
        </w:tc>
        <w:tc>
          <w:tcPr>
            <w:tcW w:w="1849" w:type="dxa"/>
          </w:tcPr>
          <w:p w:rsidR="00063A42" w:rsidRDefault="00063A42" w:rsidP="00063A42">
            <w:pPr>
              <w:pStyle w:val="ConsPlusNormal"/>
              <w:jc w:val="center"/>
            </w:pPr>
            <w:r w:rsidRPr="00E50E32">
              <w:t>Не определен</w:t>
            </w:r>
          </w:p>
        </w:tc>
      </w:tr>
      <w:tr w:rsidR="00063A42" w:rsidTr="00063A42">
        <w:trPr>
          <w:jc w:val="center"/>
        </w:trPr>
        <w:tc>
          <w:tcPr>
            <w:tcW w:w="5098" w:type="dxa"/>
          </w:tcPr>
          <w:p w:rsidR="00063A42" w:rsidRDefault="00063A42" w:rsidP="00063A42">
            <w:pPr>
              <w:pStyle w:val="ConsPlusNormal"/>
            </w:pPr>
            <w:r>
              <w:t>Показатель средней продолжительности прекращений передачи электрической энергии на точку поставки (П</w:t>
            </w:r>
            <w:r>
              <w:rPr>
                <w:vertAlign w:val="subscript"/>
              </w:rPr>
              <w:t>saidi</w:t>
            </w:r>
            <w:r>
              <w:t>)</w:t>
            </w:r>
          </w:p>
        </w:tc>
        <w:tc>
          <w:tcPr>
            <w:tcW w:w="2835" w:type="dxa"/>
          </w:tcPr>
          <w:p w:rsidR="00063A42" w:rsidRDefault="0089020B" w:rsidP="00063A42">
            <w:pPr>
              <w:pStyle w:val="ConsPlusNormal"/>
              <w:jc w:val="center"/>
            </w:pPr>
            <w:hyperlink w:anchor="P96" w:history="1">
              <w:r w:rsidR="00063A42" w:rsidRPr="001C4F81">
                <w:t>2</w:t>
              </w:r>
            </w:hyperlink>
          </w:p>
        </w:tc>
        <w:tc>
          <w:tcPr>
            <w:tcW w:w="1849" w:type="dxa"/>
          </w:tcPr>
          <w:p w:rsidR="00063A42" w:rsidRDefault="00063A42" w:rsidP="00063A42">
            <w:pPr>
              <w:pStyle w:val="ConsPlusNormal"/>
              <w:jc w:val="center"/>
            </w:pPr>
            <w:r w:rsidRPr="00E50E32">
              <w:t>Не определен</w:t>
            </w:r>
          </w:p>
        </w:tc>
      </w:tr>
      <w:tr w:rsidR="00063A42" w:rsidTr="00063A42">
        <w:trPr>
          <w:jc w:val="center"/>
        </w:trPr>
        <w:tc>
          <w:tcPr>
            <w:tcW w:w="5098" w:type="dxa"/>
          </w:tcPr>
          <w:p w:rsidR="00063A42" w:rsidRDefault="00063A42" w:rsidP="00063A42">
            <w:pPr>
              <w:pStyle w:val="ConsPlusNormal"/>
              <w:jc w:val="both"/>
            </w:pPr>
            <w:r>
              <w:t>Показатель средней частоты прекращений передачи электрической энергии на точку поставки (П</w:t>
            </w:r>
            <w:r>
              <w:rPr>
                <w:vertAlign w:val="subscript"/>
              </w:rPr>
              <w:t>saifi</w:t>
            </w:r>
            <w:r>
              <w:t>)</w:t>
            </w:r>
          </w:p>
        </w:tc>
        <w:tc>
          <w:tcPr>
            <w:tcW w:w="2835" w:type="dxa"/>
          </w:tcPr>
          <w:p w:rsidR="00063A42" w:rsidRDefault="0089020B" w:rsidP="00063A42">
            <w:pPr>
              <w:pStyle w:val="ConsPlusNormal"/>
              <w:jc w:val="center"/>
            </w:pPr>
            <w:hyperlink w:anchor="P105" w:history="1">
              <w:r w:rsidR="00063A42" w:rsidRPr="001C4F81">
                <w:t>3</w:t>
              </w:r>
            </w:hyperlink>
          </w:p>
        </w:tc>
        <w:tc>
          <w:tcPr>
            <w:tcW w:w="1849" w:type="dxa"/>
          </w:tcPr>
          <w:p w:rsidR="00063A42" w:rsidRDefault="00063A42" w:rsidP="00063A42">
            <w:pPr>
              <w:pStyle w:val="ConsPlusNormal"/>
              <w:jc w:val="center"/>
            </w:pPr>
            <w:r w:rsidRPr="00E50E32">
              <w:t>Не определен</w:t>
            </w:r>
          </w:p>
        </w:tc>
      </w:tr>
      <w:tr w:rsidR="00063A42" w:rsidTr="00063A42">
        <w:trPr>
          <w:jc w:val="center"/>
        </w:trPr>
        <w:tc>
          <w:tcPr>
            <w:tcW w:w="5098" w:type="dxa"/>
          </w:tcPr>
          <w:p w:rsidR="00063A42" w:rsidRDefault="00063A42" w:rsidP="00063A42">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835" w:type="dxa"/>
          </w:tcPr>
          <w:p w:rsidR="00063A42" w:rsidRDefault="0089020B" w:rsidP="00063A42">
            <w:pPr>
              <w:pStyle w:val="ConsPlusNormal"/>
              <w:jc w:val="center"/>
            </w:pPr>
            <w:hyperlink w:anchor="P304" w:history="1">
              <w:r w:rsidR="00063A42" w:rsidRPr="001C4F81">
                <w:t>12</w:t>
              </w:r>
            </w:hyperlink>
          </w:p>
        </w:tc>
        <w:tc>
          <w:tcPr>
            <w:tcW w:w="1849" w:type="dxa"/>
          </w:tcPr>
          <w:p w:rsidR="00063A42" w:rsidRDefault="00063A42" w:rsidP="00063A42">
            <w:pPr>
              <w:pStyle w:val="ConsPlusNormal"/>
              <w:jc w:val="center"/>
            </w:pPr>
            <w:r w:rsidRPr="00E50E32">
              <w:t>Не определен</w:t>
            </w:r>
          </w:p>
        </w:tc>
      </w:tr>
      <w:tr w:rsidR="00063A42" w:rsidTr="00063A42">
        <w:trPr>
          <w:jc w:val="center"/>
        </w:trPr>
        <w:tc>
          <w:tcPr>
            <w:tcW w:w="5098" w:type="dxa"/>
          </w:tcPr>
          <w:p w:rsidR="00063A42" w:rsidRPr="00063A42" w:rsidRDefault="00063A42" w:rsidP="00063A42">
            <w:pPr>
              <w:pStyle w:val="ConsPlusNormal"/>
              <w:rPr>
                <w:sz w:val="20"/>
              </w:rPr>
            </w:pPr>
            <w:r w:rsidRPr="00063A42">
              <w:rPr>
                <w:sz w:val="20"/>
              </w:rPr>
              <w:t>Показатель уровня качества обслуживания потребителей услуг территориальными сетевыми организациями (П</w:t>
            </w:r>
            <w:r w:rsidRPr="00063A42">
              <w:rPr>
                <w:sz w:val="20"/>
                <w:vertAlign w:val="subscript"/>
              </w:rPr>
              <w:t>тсо</w:t>
            </w:r>
            <w:r w:rsidRPr="00063A42">
              <w:rPr>
                <w:sz w:val="20"/>
              </w:rPr>
              <w:t>)</w:t>
            </w:r>
          </w:p>
        </w:tc>
        <w:tc>
          <w:tcPr>
            <w:tcW w:w="2835" w:type="dxa"/>
          </w:tcPr>
          <w:p w:rsidR="00063A42" w:rsidRDefault="0089020B" w:rsidP="00063A42">
            <w:pPr>
              <w:pStyle w:val="ConsPlusNormal"/>
              <w:jc w:val="center"/>
            </w:pPr>
            <w:hyperlink w:anchor="P253" w:history="1">
              <w:r w:rsidR="00063A42" w:rsidRPr="001C4F81">
                <w:t>11</w:t>
              </w:r>
            </w:hyperlink>
          </w:p>
        </w:tc>
        <w:tc>
          <w:tcPr>
            <w:tcW w:w="1849" w:type="dxa"/>
          </w:tcPr>
          <w:p w:rsidR="00063A42" w:rsidRDefault="00063A42" w:rsidP="00063A42">
            <w:pPr>
              <w:pStyle w:val="ConsPlusNormal"/>
              <w:jc w:val="center"/>
            </w:pPr>
            <w:r w:rsidRPr="00E50E32">
              <w:t>Не определен</w:t>
            </w:r>
          </w:p>
        </w:tc>
      </w:tr>
      <w:tr w:rsidR="002C4D6B" w:rsidTr="00063A42">
        <w:trPr>
          <w:jc w:val="center"/>
        </w:trPr>
        <w:tc>
          <w:tcPr>
            <w:tcW w:w="5098" w:type="dxa"/>
          </w:tcPr>
          <w:p w:rsidR="002C4D6B" w:rsidRDefault="002C4D6B" w:rsidP="00C911F2">
            <w:pPr>
              <w:pStyle w:val="ConsPlusNormal"/>
              <w:jc w:val="both"/>
            </w:pPr>
            <w:r>
              <w:t>Плановое значение показателя П</w:t>
            </w:r>
            <w:r>
              <w:rPr>
                <w:vertAlign w:val="subscript"/>
              </w:rPr>
              <w:t>п</w:t>
            </w:r>
            <w:r>
              <w:t>, П</w:t>
            </w:r>
            <w:r>
              <w:rPr>
                <w:vertAlign w:val="superscript"/>
              </w:rPr>
              <w:t>пл</w:t>
            </w:r>
            <w:r>
              <w:rPr>
                <w:vertAlign w:val="subscript"/>
              </w:rPr>
              <w:t>п</w:t>
            </w:r>
          </w:p>
        </w:tc>
        <w:tc>
          <w:tcPr>
            <w:tcW w:w="2835" w:type="dxa"/>
          </w:tcPr>
          <w:p w:rsidR="002C4D6B" w:rsidRPr="00063A42" w:rsidRDefault="0089020B" w:rsidP="001C4F81">
            <w:pPr>
              <w:pStyle w:val="ConsPlusNormal"/>
              <w:jc w:val="center"/>
              <w:rPr>
                <w:sz w:val="20"/>
              </w:rPr>
            </w:pPr>
            <w:hyperlink w:anchor="P334" w:history="1">
              <w:r w:rsidR="002C4D6B" w:rsidRPr="00063A42">
                <w:rPr>
                  <w:sz w:val="20"/>
                </w:rPr>
                <w:t>Пункт 4.1</w:t>
              </w:r>
            </w:hyperlink>
            <w:r w:rsidR="002C4D6B" w:rsidRPr="00063A42">
              <w:rPr>
                <w:sz w:val="20"/>
              </w:rPr>
              <w:t xml:space="preserve"> методических указаний</w:t>
            </w:r>
          </w:p>
        </w:tc>
        <w:tc>
          <w:tcPr>
            <w:tcW w:w="1849" w:type="dxa"/>
          </w:tcPr>
          <w:p w:rsidR="002C4D6B" w:rsidRPr="00063A42" w:rsidRDefault="00063A42" w:rsidP="002B6906">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jc w:val="both"/>
            </w:pPr>
            <w:r>
              <w:t>Плановое значение показателя П</w:t>
            </w:r>
            <w:r>
              <w:rPr>
                <w:vertAlign w:val="subscript"/>
              </w:rPr>
              <w:t>тпр</w:t>
            </w:r>
            <w:r>
              <w:t>, П</w:t>
            </w:r>
            <w:r>
              <w:rPr>
                <w:vertAlign w:val="superscript"/>
              </w:rPr>
              <w:t>пл</w:t>
            </w:r>
            <w:r>
              <w:rPr>
                <w:vertAlign w:val="subscript"/>
              </w:rPr>
              <w:t>тпр</w:t>
            </w:r>
          </w:p>
        </w:tc>
        <w:tc>
          <w:tcPr>
            <w:tcW w:w="2835" w:type="dxa"/>
          </w:tcPr>
          <w:p w:rsidR="00063A42" w:rsidRPr="00063A42" w:rsidRDefault="0089020B" w:rsidP="00063A42">
            <w:pPr>
              <w:pStyle w:val="ConsPlusNormal"/>
              <w:jc w:val="center"/>
              <w:rPr>
                <w:sz w:val="20"/>
              </w:rPr>
            </w:pPr>
            <w:hyperlink w:anchor="P334" w:history="1">
              <w:r w:rsidR="00063A42" w:rsidRPr="00063A42">
                <w:rPr>
                  <w:sz w:val="20"/>
                </w:rPr>
                <w:t>Пункт 4.1</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jc w:val="both"/>
            </w:pPr>
            <w:r>
              <w:t>Плановое значение показателя П</w:t>
            </w:r>
            <w:r>
              <w:rPr>
                <w:vertAlign w:val="subscript"/>
              </w:rPr>
              <w:t>тсо</w:t>
            </w:r>
            <w:r>
              <w:t>, П</w:t>
            </w:r>
            <w:r>
              <w:rPr>
                <w:vertAlign w:val="superscript"/>
              </w:rPr>
              <w:t>пл</w:t>
            </w:r>
            <w:r>
              <w:rPr>
                <w:vertAlign w:val="subscript"/>
              </w:rPr>
              <w:t>тсо</w:t>
            </w:r>
          </w:p>
        </w:tc>
        <w:tc>
          <w:tcPr>
            <w:tcW w:w="2835" w:type="dxa"/>
          </w:tcPr>
          <w:p w:rsidR="00063A42" w:rsidRPr="00063A42" w:rsidRDefault="0089020B" w:rsidP="00063A42">
            <w:pPr>
              <w:pStyle w:val="ConsPlusNormal"/>
              <w:jc w:val="center"/>
              <w:rPr>
                <w:sz w:val="20"/>
              </w:rPr>
            </w:pPr>
            <w:hyperlink w:anchor="P334" w:history="1">
              <w:r w:rsidR="00063A42" w:rsidRPr="00063A42">
                <w:rPr>
                  <w:sz w:val="20"/>
                </w:rPr>
                <w:t>Пункт 4.1</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jc w:val="both"/>
            </w:pPr>
            <w:r>
              <w:t>Плановое значение показателя П</w:t>
            </w:r>
            <w:r>
              <w:rPr>
                <w:vertAlign w:val="subscript"/>
              </w:rPr>
              <w:t>ens</w:t>
            </w:r>
            <w:r>
              <w:t>, П</w:t>
            </w:r>
            <w:r>
              <w:rPr>
                <w:vertAlign w:val="superscript"/>
              </w:rPr>
              <w:t>пл</w:t>
            </w:r>
            <w:r>
              <w:rPr>
                <w:vertAlign w:val="subscript"/>
              </w:rPr>
              <w:t>ens</w:t>
            </w:r>
          </w:p>
        </w:tc>
        <w:tc>
          <w:tcPr>
            <w:tcW w:w="2835" w:type="dxa"/>
          </w:tcPr>
          <w:p w:rsidR="00063A42" w:rsidRPr="00063A42" w:rsidRDefault="0089020B" w:rsidP="00063A42">
            <w:pPr>
              <w:pStyle w:val="ConsPlusNormal"/>
              <w:jc w:val="center"/>
              <w:rPr>
                <w:sz w:val="20"/>
              </w:rPr>
            </w:pPr>
            <w:hyperlink w:anchor="P334" w:history="1">
              <w:r w:rsidR="00063A42" w:rsidRPr="00063A42">
                <w:rPr>
                  <w:sz w:val="20"/>
                </w:rPr>
                <w:t>Пункт 4.1</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jc w:val="both"/>
            </w:pPr>
            <w:r>
              <w:t>Плановое значение показателя П</w:t>
            </w:r>
            <w:r>
              <w:rPr>
                <w:vertAlign w:val="subscript"/>
              </w:rPr>
              <w:t>saidi</w:t>
            </w:r>
            <w:r>
              <w:t>, П</w:t>
            </w:r>
            <w:r>
              <w:rPr>
                <w:vertAlign w:val="superscript"/>
              </w:rPr>
              <w:t>пл</w:t>
            </w:r>
            <w:r>
              <w:rPr>
                <w:vertAlign w:val="subscript"/>
              </w:rPr>
              <w:t>saidi</w:t>
            </w:r>
          </w:p>
        </w:tc>
        <w:tc>
          <w:tcPr>
            <w:tcW w:w="2835" w:type="dxa"/>
          </w:tcPr>
          <w:p w:rsidR="00063A42" w:rsidRPr="00063A42" w:rsidRDefault="0089020B" w:rsidP="00063A42">
            <w:pPr>
              <w:pStyle w:val="ConsPlusNormal"/>
              <w:jc w:val="center"/>
              <w:rPr>
                <w:sz w:val="20"/>
              </w:rPr>
            </w:pPr>
            <w:hyperlink w:anchor="P401" w:history="1">
              <w:r w:rsidR="00063A42" w:rsidRPr="00063A42">
                <w:rPr>
                  <w:sz w:val="20"/>
                </w:rPr>
                <w:t>Пункт 4.2</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jc w:val="both"/>
            </w:pPr>
            <w:r>
              <w:t>Плановое значение показателя П</w:t>
            </w:r>
            <w:r>
              <w:rPr>
                <w:vertAlign w:val="subscript"/>
              </w:rPr>
              <w:t>saifi</w:t>
            </w:r>
            <w:r>
              <w:t>, П</w:t>
            </w:r>
            <w:r>
              <w:rPr>
                <w:vertAlign w:val="superscript"/>
              </w:rPr>
              <w:t>пл</w:t>
            </w:r>
            <w:r>
              <w:rPr>
                <w:vertAlign w:val="subscript"/>
              </w:rPr>
              <w:t>saifi</w:t>
            </w:r>
          </w:p>
        </w:tc>
        <w:tc>
          <w:tcPr>
            <w:tcW w:w="2835" w:type="dxa"/>
          </w:tcPr>
          <w:p w:rsidR="00063A42" w:rsidRPr="00063A42" w:rsidRDefault="0089020B" w:rsidP="00063A42">
            <w:pPr>
              <w:pStyle w:val="ConsPlusNormal"/>
              <w:jc w:val="center"/>
              <w:rPr>
                <w:sz w:val="20"/>
              </w:rPr>
            </w:pPr>
            <w:hyperlink w:anchor="P401" w:history="1">
              <w:r w:rsidR="00063A42" w:rsidRPr="00063A42">
                <w:rPr>
                  <w:sz w:val="20"/>
                </w:rPr>
                <w:t>Пункт 4.2</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pPr>
            <w:r>
              <w:t>Оценка достижения показателя уровня надежности оказываемых услуг, К</w:t>
            </w:r>
            <w:r>
              <w:rPr>
                <w:vertAlign w:val="subscript"/>
              </w:rPr>
              <w:t>над</w:t>
            </w:r>
          </w:p>
        </w:tc>
        <w:tc>
          <w:tcPr>
            <w:tcW w:w="2835" w:type="dxa"/>
          </w:tcPr>
          <w:p w:rsidR="00063A42" w:rsidRPr="00063A42" w:rsidRDefault="0089020B" w:rsidP="00063A42">
            <w:pPr>
              <w:pStyle w:val="ConsPlusNormal"/>
              <w:jc w:val="center"/>
              <w:rPr>
                <w:sz w:val="20"/>
              </w:rPr>
            </w:pPr>
            <w:hyperlink w:anchor="P477" w:history="1">
              <w:r w:rsidR="00063A42" w:rsidRPr="00063A42">
                <w:rPr>
                  <w:sz w:val="20"/>
                </w:rPr>
                <w:t>Пункт 5</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pPr>
            <w:r>
              <w:t>Оценка достижения показателя уровня надежности оказываемых услуг, К</w:t>
            </w:r>
            <w:r>
              <w:rPr>
                <w:vertAlign w:val="subscript"/>
              </w:rPr>
              <w:t>над1</w:t>
            </w:r>
          </w:p>
        </w:tc>
        <w:tc>
          <w:tcPr>
            <w:tcW w:w="2835" w:type="dxa"/>
          </w:tcPr>
          <w:p w:rsidR="00063A42" w:rsidRPr="00063A42" w:rsidRDefault="0089020B" w:rsidP="00063A42">
            <w:pPr>
              <w:pStyle w:val="ConsPlusNormal"/>
              <w:jc w:val="center"/>
              <w:rPr>
                <w:sz w:val="20"/>
              </w:rPr>
            </w:pPr>
            <w:hyperlink w:anchor="P477" w:history="1">
              <w:r w:rsidR="00063A42" w:rsidRPr="00063A42">
                <w:rPr>
                  <w:sz w:val="20"/>
                </w:rPr>
                <w:t>Пункт 5</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r w:rsidR="00063A42" w:rsidTr="00063A42">
        <w:trPr>
          <w:jc w:val="center"/>
        </w:trPr>
        <w:tc>
          <w:tcPr>
            <w:tcW w:w="5098" w:type="dxa"/>
          </w:tcPr>
          <w:p w:rsidR="00063A42" w:rsidRDefault="00063A42" w:rsidP="00063A42">
            <w:pPr>
              <w:pStyle w:val="ConsPlusNormal"/>
              <w:jc w:val="center"/>
            </w:pPr>
            <w:r>
              <w:t>Оценка достижения показателя уровня надежности оказываемых услуг, К</w:t>
            </w:r>
            <w:r>
              <w:rPr>
                <w:vertAlign w:val="subscript"/>
              </w:rPr>
              <w:t>над2</w:t>
            </w:r>
          </w:p>
        </w:tc>
        <w:tc>
          <w:tcPr>
            <w:tcW w:w="2835" w:type="dxa"/>
          </w:tcPr>
          <w:p w:rsidR="00063A42" w:rsidRPr="00063A42" w:rsidRDefault="0089020B" w:rsidP="00063A42">
            <w:pPr>
              <w:pStyle w:val="ConsPlusNormal"/>
              <w:jc w:val="center"/>
              <w:rPr>
                <w:sz w:val="20"/>
              </w:rPr>
            </w:pPr>
            <w:hyperlink w:anchor="P477" w:history="1">
              <w:r w:rsidR="00063A42" w:rsidRPr="00063A42">
                <w:rPr>
                  <w:sz w:val="20"/>
                </w:rPr>
                <w:t>Пункт 5</w:t>
              </w:r>
            </w:hyperlink>
            <w:r w:rsidR="00063A42" w:rsidRPr="00063A42">
              <w:rPr>
                <w:sz w:val="20"/>
              </w:rPr>
              <w:t xml:space="preserve"> методических указаний</w:t>
            </w:r>
          </w:p>
        </w:tc>
        <w:tc>
          <w:tcPr>
            <w:tcW w:w="1849" w:type="dxa"/>
          </w:tcPr>
          <w:p w:rsidR="00063A42" w:rsidRPr="00063A42" w:rsidRDefault="00063A42" w:rsidP="00063A42">
            <w:pPr>
              <w:pStyle w:val="ConsPlusNormal"/>
              <w:jc w:val="center"/>
              <w:rPr>
                <w:sz w:val="18"/>
                <w:szCs w:val="18"/>
              </w:rPr>
            </w:pPr>
            <w:r w:rsidRPr="00063A42">
              <w:rPr>
                <w:sz w:val="18"/>
                <w:szCs w:val="18"/>
              </w:rPr>
              <w:t>Соответствует условию достижения</w:t>
            </w:r>
          </w:p>
        </w:tc>
      </w:tr>
    </w:tbl>
    <w:p w:rsidR="002B6906" w:rsidRDefault="002B6906" w:rsidP="002B6906">
      <w:pPr>
        <w:pStyle w:val="ConsPlusNormal"/>
        <w:jc w:val="both"/>
        <w:rPr>
          <w:sz w:val="24"/>
          <w:szCs w:val="24"/>
        </w:rPr>
      </w:pPr>
    </w:p>
    <w:p w:rsidR="00972FD4" w:rsidRDefault="00972FD4" w:rsidP="00972FD4">
      <w:pPr>
        <w:pStyle w:val="ConsPlusNormal"/>
        <w:spacing w:before="120"/>
        <w:jc w:val="both"/>
        <w:rPr>
          <w:b/>
        </w:rPr>
      </w:pPr>
      <w:bookmarkStart w:id="9" w:name="P1981"/>
      <w:bookmarkEnd w:id="9"/>
      <w:r w:rsidRPr="00EE64E5">
        <w:rPr>
          <w:b/>
        </w:rPr>
        <w:t xml:space="preserve">Генеральный директор                                                                                                     </w:t>
      </w:r>
      <w:r>
        <w:rPr>
          <w:b/>
        </w:rPr>
        <w:t>О.Н.Архипов</w:t>
      </w:r>
      <w:r w:rsidRPr="00EE64E5">
        <w:rPr>
          <w:b/>
        </w:rPr>
        <w:t xml:space="preserve">     </w:t>
      </w:r>
    </w:p>
    <w:p w:rsidR="00195826" w:rsidRDefault="002C4D6B" w:rsidP="00195826">
      <w:pPr>
        <w:pStyle w:val="ConsPlusNonformat"/>
        <w:jc w:val="right"/>
      </w:pPr>
      <w:r>
        <w:t xml:space="preserve">  </w:t>
      </w:r>
      <w:r w:rsidRPr="00195826">
        <w:rPr>
          <w:rFonts w:ascii="Calibri" w:hAnsi="Calibri" w:cs="Calibri"/>
          <w:i/>
          <w:sz w:val="22"/>
          <w:u w:val="single"/>
        </w:rPr>
        <w:t>Форма 4.2.</w:t>
      </w:r>
    </w:p>
    <w:p w:rsidR="002C4D6B" w:rsidRDefault="002C4D6B" w:rsidP="00195826">
      <w:pPr>
        <w:pStyle w:val="ConsPlusNormal"/>
        <w:ind w:firstLine="708"/>
        <w:jc w:val="center"/>
      </w:pPr>
      <w:r>
        <w:t xml:space="preserve"> Расчет обобщенного показателя уровня надежности</w:t>
      </w:r>
    </w:p>
    <w:p w:rsidR="002C4D6B" w:rsidRDefault="002C4D6B" w:rsidP="00195826">
      <w:pPr>
        <w:pStyle w:val="ConsPlusNormal"/>
        <w:ind w:firstLine="708"/>
        <w:jc w:val="center"/>
      </w:pPr>
      <w:r>
        <w:t xml:space="preserve">                       и качества оказываемых услуг</w:t>
      </w:r>
    </w:p>
    <w:p w:rsidR="002C4D6B" w:rsidRDefault="002C4D6B" w:rsidP="002C4D6B">
      <w:pPr>
        <w:pStyle w:val="ConsPlusNonformat"/>
        <w:jc w:val="both"/>
      </w:pPr>
    </w:p>
    <w:p w:rsidR="00195826" w:rsidRPr="005E4B0C" w:rsidRDefault="00195826" w:rsidP="00195826">
      <w:pPr>
        <w:pStyle w:val="ConsPlusNormal"/>
        <w:pBdr>
          <w:bottom w:val="single" w:sz="4" w:space="10" w:color="auto"/>
        </w:pBdr>
        <w:spacing w:before="120"/>
        <w:ind w:firstLine="709"/>
        <w:jc w:val="center"/>
        <w:rPr>
          <w:b/>
          <w:sz w:val="28"/>
          <w:szCs w:val="28"/>
        </w:rPr>
      </w:pPr>
      <w:r w:rsidRPr="005E4B0C">
        <w:rPr>
          <w:b/>
          <w:sz w:val="28"/>
          <w:szCs w:val="28"/>
        </w:rPr>
        <w:t>ООО «Самолет-Прогресс»</w:t>
      </w:r>
    </w:p>
    <w:p w:rsidR="00195826" w:rsidRDefault="00195826" w:rsidP="002C4D6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361"/>
        <w:gridCol w:w="4291"/>
      </w:tblGrid>
      <w:tr w:rsidR="002C4D6B" w:rsidTr="00C911F2">
        <w:tc>
          <w:tcPr>
            <w:tcW w:w="3402" w:type="dxa"/>
          </w:tcPr>
          <w:p w:rsidR="002C4D6B" w:rsidRDefault="002C4D6B" w:rsidP="00C911F2">
            <w:pPr>
              <w:pStyle w:val="ConsPlusNormal"/>
              <w:jc w:val="center"/>
            </w:pPr>
            <w:r>
              <w:t>Показатель</w:t>
            </w:r>
          </w:p>
        </w:tc>
        <w:tc>
          <w:tcPr>
            <w:tcW w:w="1361" w:type="dxa"/>
          </w:tcPr>
          <w:p w:rsidR="002C4D6B" w:rsidRDefault="002C4D6B" w:rsidP="00C911F2">
            <w:pPr>
              <w:pStyle w:val="ConsPlusNormal"/>
              <w:jc w:val="center"/>
            </w:pPr>
            <w:r>
              <w:t>N пункта методических указаний</w:t>
            </w:r>
          </w:p>
        </w:tc>
        <w:tc>
          <w:tcPr>
            <w:tcW w:w="4291" w:type="dxa"/>
          </w:tcPr>
          <w:p w:rsidR="002C4D6B" w:rsidRDefault="002C4D6B" w:rsidP="00C911F2">
            <w:pPr>
              <w:pStyle w:val="ConsPlusNormal"/>
              <w:jc w:val="center"/>
            </w:pPr>
            <w:r>
              <w:t>Значение</w:t>
            </w:r>
          </w:p>
        </w:tc>
      </w:tr>
      <w:tr w:rsidR="002C4D6B" w:rsidTr="00C911F2">
        <w:tc>
          <w:tcPr>
            <w:tcW w:w="3402" w:type="dxa"/>
          </w:tcPr>
          <w:p w:rsidR="002C4D6B" w:rsidRDefault="002C4D6B" w:rsidP="00C911F2">
            <w:pPr>
              <w:pStyle w:val="ConsPlusNormal"/>
            </w:pPr>
            <w:r>
              <w:t>1. Оценка достижения показателя уровня надежности оказываемых услуг, К</w:t>
            </w:r>
            <w:r>
              <w:rPr>
                <w:vertAlign w:val="subscript"/>
              </w:rPr>
              <w:t>над</w:t>
            </w:r>
          </w:p>
        </w:tc>
        <w:tc>
          <w:tcPr>
            <w:tcW w:w="1361" w:type="dxa"/>
          </w:tcPr>
          <w:p w:rsidR="002C4D6B" w:rsidRDefault="0089020B" w:rsidP="00C911F2">
            <w:pPr>
              <w:pStyle w:val="ConsPlusNormal"/>
              <w:jc w:val="center"/>
            </w:pPr>
            <w:hyperlink w:anchor="P477" w:history="1">
              <w:r w:rsidR="002C4D6B" w:rsidRPr="001C4F81">
                <w:t>пункт 5</w:t>
              </w:r>
            </w:hyperlink>
          </w:p>
        </w:tc>
        <w:tc>
          <w:tcPr>
            <w:tcW w:w="4291" w:type="dxa"/>
          </w:tcPr>
          <w:p w:rsidR="002C4D6B" w:rsidRDefault="001C4F81" w:rsidP="001C4F81">
            <w:pPr>
              <w:pStyle w:val="ConsPlusNormal"/>
              <w:jc w:val="center"/>
            </w:pPr>
            <w:r>
              <w:t>0</w:t>
            </w:r>
          </w:p>
        </w:tc>
      </w:tr>
      <w:tr w:rsidR="002C4D6B" w:rsidTr="00C911F2">
        <w:tc>
          <w:tcPr>
            <w:tcW w:w="3402" w:type="dxa"/>
          </w:tcPr>
          <w:p w:rsidR="002C4D6B" w:rsidRDefault="002C4D6B" w:rsidP="00C911F2">
            <w:pPr>
              <w:pStyle w:val="ConsPlusNormal"/>
            </w:pPr>
            <w:r>
              <w:t>2. Оценка достижения показателя уровня надежности оказываемых услуг, К</w:t>
            </w:r>
            <w:r>
              <w:rPr>
                <w:vertAlign w:val="subscript"/>
              </w:rPr>
              <w:t>над1</w:t>
            </w:r>
          </w:p>
        </w:tc>
        <w:tc>
          <w:tcPr>
            <w:tcW w:w="1361" w:type="dxa"/>
          </w:tcPr>
          <w:p w:rsidR="002C4D6B" w:rsidRDefault="0089020B" w:rsidP="00C911F2">
            <w:pPr>
              <w:pStyle w:val="ConsPlusNormal"/>
              <w:jc w:val="center"/>
            </w:pPr>
            <w:hyperlink w:anchor="P477" w:history="1">
              <w:r w:rsidR="002C4D6B" w:rsidRPr="001C4F81">
                <w:t>Пункт 5</w:t>
              </w:r>
            </w:hyperlink>
          </w:p>
        </w:tc>
        <w:tc>
          <w:tcPr>
            <w:tcW w:w="4291" w:type="dxa"/>
          </w:tcPr>
          <w:p w:rsidR="002C4D6B" w:rsidRDefault="001C4F81" w:rsidP="001C4F81">
            <w:pPr>
              <w:pStyle w:val="ConsPlusNormal"/>
              <w:jc w:val="center"/>
            </w:pPr>
            <w:r>
              <w:t>0</w:t>
            </w:r>
          </w:p>
        </w:tc>
      </w:tr>
      <w:tr w:rsidR="002C4D6B" w:rsidTr="00C911F2">
        <w:tc>
          <w:tcPr>
            <w:tcW w:w="3402" w:type="dxa"/>
          </w:tcPr>
          <w:p w:rsidR="002C4D6B" w:rsidRDefault="002C4D6B" w:rsidP="00C911F2">
            <w:pPr>
              <w:pStyle w:val="ConsPlusNormal"/>
            </w:pPr>
            <w:r>
              <w:t>3. Оценка достижения показателя уровня надежности оказываемых услуг, К</w:t>
            </w:r>
            <w:r>
              <w:rPr>
                <w:vertAlign w:val="subscript"/>
              </w:rPr>
              <w:t>над2</w:t>
            </w:r>
          </w:p>
        </w:tc>
        <w:tc>
          <w:tcPr>
            <w:tcW w:w="1361" w:type="dxa"/>
          </w:tcPr>
          <w:p w:rsidR="002C4D6B" w:rsidRDefault="0089020B" w:rsidP="00C911F2">
            <w:pPr>
              <w:pStyle w:val="ConsPlusNormal"/>
              <w:jc w:val="center"/>
            </w:pPr>
            <w:hyperlink w:anchor="P477" w:history="1">
              <w:r w:rsidR="002C4D6B" w:rsidRPr="001C4F81">
                <w:t>Пункт 5</w:t>
              </w:r>
            </w:hyperlink>
          </w:p>
        </w:tc>
        <w:tc>
          <w:tcPr>
            <w:tcW w:w="4291" w:type="dxa"/>
          </w:tcPr>
          <w:p w:rsidR="002C4D6B" w:rsidRDefault="001C4F81" w:rsidP="001C4F81">
            <w:pPr>
              <w:pStyle w:val="ConsPlusNormal"/>
              <w:jc w:val="center"/>
            </w:pPr>
            <w:r>
              <w:t>0</w:t>
            </w:r>
          </w:p>
        </w:tc>
      </w:tr>
      <w:tr w:rsidR="002C4D6B" w:rsidTr="00C911F2">
        <w:tc>
          <w:tcPr>
            <w:tcW w:w="3402" w:type="dxa"/>
          </w:tcPr>
          <w:p w:rsidR="002C4D6B" w:rsidRDefault="002C4D6B" w:rsidP="00C911F2">
            <w:pPr>
              <w:pStyle w:val="ConsPlusNormal"/>
            </w:pPr>
            <w:r>
              <w:t>8. Обобщенный показатель уровня надежности и качества оказываемых услуг, К</w:t>
            </w:r>
            <w:r>
              <w:rPr>
                <w:vertAlign w:val="subscript"/>
              </w:rPr>
              <w:t>об</w:t>
            </w:r>
          </w:p>
        </w:tc>
        <w:tc>
          <w:tcPr>
            <w:tcW w:w="1361" w:type="dxa"/>
          </w:tcPr>
          <w:p w:rsidR="002C4D6B" w:rsidRDefault="0089020B" w:rsidP="00C911F2">
            <w:pPr>
              <w:pStyle w:val="ConsPlusNormal"/>
              <w:jc w:val="center"/>
            </w:pPr>
            <w:hyperlink w:anchor="P477" w:history="1">
              <w:r w:rsidR="002C4D6B" w:rsidRPr="001C4F81">
                <w:t>Пункт 5</w:t>
              </w:r>
            </w:hyperlink>
          </w:p>
        </w:tc>
        <w:tc>
          <w:tcPr>
            <w:tcW w:w="4291" w:type="dxa"/>
          </w:tcPr>
          <w:p w:rsidR="002C4D6B" w:rsidRDefault="001C4F81" w:rsidP="001C4F81">
            <w:pPr>
              <w:pStyle w:val="ConsPlusNormal"/>
              <w:jc w:val="center"/>
            </w:pPr>
            <w:r>
              <w:t>0</w:t>
            </w:r>
          </w:p>
        </w:tc>
      </w:tr>
    </w:tbl>
    <w:p w:rsidR="002C4D6B" w:rsidRDefault="002C4D6B" w:rsidP="002C4D6B">
      <w:pPr>
        <w:pStyle w:val="ConsPlusNormal"/>
        <w:jc w:val="both"/>
      </w:pPr>
    </w:p>
    <w:p w:rsidR="00972FD4" w:rsidRDefault="00972FD4" w:rsidP="00972FD4">
      <w:pPr>
        <w:pStyle w:val="ConsPlusNormal"/>
        <w:spacing w:before="120"/>
        <w:jc w:val="both"/>
        <w:rPr>
          <w:b/>
        </w:rPr>
      </w:pPr>
      <w:r w:rsidRPr="00EE64E5">
        <w:rPr>
          <w:b/>
        </w:rPr>
        <w:t xml:space="preserve">Генеральный директор                                                                                                     </w:t>
      </w:r>
      <w:r>
        <w:rPr>
          <w:b/>
        </w:rPr>
        <w:t>О.Н.</w:t>
      </w:r>
      <w:r w:rsidR="0089020B" w:rsidRPr="0089020B">
        <w:rPr>
          <w:b/>
        </w:rPr>
        <w:t xml:space="preserve"> </w:t>
      </w:r>
      <w:bookmarkStart w:id="10" w:name="_GoBack"/>
      <w:bookmarkEnd w:id="10"/>
      <w:r>
        <w:rPr>
          <w:b/>
        </w:rPr>
        <w:t>Архипов</w:t>
      </w:r>
      <w:r w:rsidRPr="00EE64E5">
        <w:rPr>
          <w:b/>
        </w:rPr>
        <w:t xml:space="preserve">     </w:t>
      </w:r>
    </w:p>
    <w:p w:rsidR="00EE64E5" w:rsidRPr="00EE64E5" w:rsidRDefault="00EE64E5" w:rsidP="00972FD4">
      <w:pPr>
        <w:pStyle w:val="ConsPlusNormal"/>
        <w:spacing w:before="120"/>
        <w:jc w:val="both"/>
        <w:rPr>
          <w:b/>
        </w:rPr>
      </w:pPr>
    </w:p>
    <w:sectPr w:rsidR="00EE64E5" w:rsidRPr="00EE64E5">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BB2" w:rsidRDefault="00F72BB2" w:rsidP="0032394A">
      <w:pPr>
        <w:spacing w:after="0" w:line="240" w:lineRule="auto"/>
      </w:pPr>
      <w:r>
        <w:separator/>
      </w:r>
    </w:p>
  </w:endnote>
  <w:endnote w:type="continuationSeparator" w:id="0">
    <w:p w:rsidR="00F72BB2" w:rsidRDefault="00F72BB2" w:rsidP="0032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861994"/>
      <w:docPartObj>
        <w:docPartGallery w:val="Page Numbers (Bottom of Page)"/>
        <w:docPartUnique/>
      </w:docPartObj>
    </w:sdtPr>
    <w:sdtEndPr/>
    <w:sdtContent>
      <w:p w:rsidR="00E965BB" w:rsidRDefault="00E965BB">
        <w:pPr>
          <w:pStyle w:val="a6"/>
          <w:jc w:val="right"/>
          <w:rPr>
            <w:rFonts w:asciiTheme="minorHAnsi" w:hAnsiTheme="minorHAnsi" w:cstheme="minorHAnsi"/>
            <w:sz w:val="16"/>
            <w:szCs w:val="16"/>
          </w:rPr>
        </w:pPr>
      </w:p>
      <w:p w:rsidR="00E965BB" w:rsidRDefault="00E965BB">
        <w:pPr>
          <w:pStyle w:val="a6"/>
          <w:jc w:val="right"/>
        </w:pPr>
        <w:r>
          <w:fldChar w:fldCharType="begin"/>
        </w:r>
        <w:r>
          <w:instrText>PAGE   \* MERGEFORMAT</w:instrText>
        </w:r>
        <w:r>
          <w:fldChar w:fldCharType="separate"/>
        </w:r>
        <w:r w:rsidR="0089020B">
          <w:rPr>
            <w:noProof/>
          </w:rPr>
          <w:t>12</w:t>
        </w:r>
        <w:r>
          <w:fldChar w:fldCharType="end"/>
        </w:r>
      </w:p>
    </w:sdtContent>
  </w:sdt>
  <w:p w:rsidR="00E965BB" w:rsidRDefault="00E96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BB2" w:rsidRDefault="00F72BB2" w:rsidP="0032394A">
      <w:pPr>
        <w:spacing w:after="0" w:line="240" w:lineRule="auto"/>
      </w:pPr>
      <w:r>
        <w:separator/>
      </w:r>
    </w:p>
  </w:footnote>
  <w:footnote w:type="continuationSeparator" w:id="0">
    <w:p w:rsidR="00F72BB2" w:rsidRDefault="00F72BB2" w:rsidP="00323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2213"/>
    <w:multiLevelType w:val="hybridMultilevel"/>
    <w:tmpl w:val="08DAF0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AA11AA3"/>
    <w:multiLevelType w:val="hybridMultilevel"/>
    <w:tmpl w:val="5030B01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342B18F9"/>
    <w:multiLevelType w:val="hybridMultilevel"/>
    <w:tmpl w:val="91EA4744"/>
    <w:lvl w:ilvl="0" w:tplc="78CE0A8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020AF"/>
    <w:multiLevelType w:val="multilevel"/>
    <w:tmpl w:val="1ACC80B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42FA2A2E"/>
    <w:multiLevelType w:val="hybridMultilevel"/>
    <w:tmpl w:val="BD0ABA8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734602C1"/>
    <w:multiLevelType w:val="multilevel"/>
    <w:tmpl w:val="8F1A80BA"/>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7ED0517B"/>
    <w:multiLevelType w:val="hybridMultilevel"/>
    <w:tmpl w:val="33E0A3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65"/>
    <w:rsid w:val="00063A42"/>
    <w:rsid w:val="0007147B"/>
    <w:rsid w:val="00073637"/>
    <w:rsid w:val="000B05FE"/>
    <w:rsid w:val="000C3717"/>
    <w:rsid w:val="000D2834"/>
    <w:rsid w:val="000D6289"/>
    <w:rsid w:val="00141B1A"/>
    <w:rsid w:val="00157060"/>
    <w:rsid w:val="00170137"/>
    <w:rsid w:val="00195826"/>
    <w:rsid w:val="001C4F81"/>
    <w:rsid w:val="001E4FAC"/>
    <w:rsid w:val="001F78DA"/>
    <w:rsid w:val="0022018B"/>
    <w:rsid w:val="002362C0"/>
    <w:rsid w:val="0027553C"/>
    <w:rsid w:val="00280D43"/>
    <w:rsid w:val="002A304C"/>
    <w:rsid w:val="002B6906"/>
    <w:rsid w:val="002C4D6B"/>
    <w:rsid w:val="002C6638"/>
    <w:rsid w:val="002F146C"/>
    <w:rsid w:val="003075EB"/>
    <w:rsid w:val="0032394A"/>
    <w:rsid w:val="003317EF"/>
    <w:rsid w:val="00346D0F"/>
    <w:rsid w:val="003632CD"/>
    <w:rsid w:val="00382034"/>
    <w:rsid w:val="003902F7"/>
    <w:rsid w:val="00392C86"/>
    <w:rsid w:val="003A504E"/>
    <w:rsid w:val="00401FB7"/>
    <w:rsid w:val="00454B4C"/>
    <w:rsid w:val="004D1A1C"/>
    <w:rsid w:val="00577031"/>
    <w:rsid w:val="005774D7"/>
    <w:rsid w:val="005D1E2E"/>
    <w:rsid w:val="005E4B0C"/>
    <w:rsid w:val="00605309"/>
    <w:rsid w:val="00693F10"/>
    <w:rsid w:val="006D1A4B"/>
    <w:rsid w:val="006D4599"/>
    <w:rsid w:val="007516AE"/>
    <w:rsid w:val="00797F12"/>
    <w:rsid w:val="007C6001"/>
    <w:rsid w:val="0082253D"/>
    <w:rsid w:val="0085326C"/>
    <w:rsid w:val="0089020B"/>
    <w:rsid w:val="00892143"/>
    <w:rsid w:val="008B238F"/>
    <w:rsid w:val="00902ECA"/>
    <w:rsid w:val="009277E7"/>
    <w:rsid w:val="00972FD4"/>
    <w:rsid w:val="0098363A"/>
    <w:rsid w:val="009B1865"/>
    <w:rsid w:val="00A6022E"/>
    <w:rsid w:val="00AC308F"/>
    <w:rsid w:val="00AD71AD"/>
    <w:rsid w:val="00B7499A"/>
    <w:rsid w:val="00B95378"/>
    <w:rsid w:val="00C26856"/>
    <w:rsid w:val="00C453F8"/>
    <w:rsid w:val="00C911F2"/>
    <w:rsid w:val="00C9273E"/>
    <w:rsid w:val="00CC0C37"/>
    <w:rsid w:val="00CC3BE2"/>
    <w:rsid w:val="00D05AA7"/>
    <w:rsid w:val="00D60D96"/>
    <w:rsid w:val="00D70E57"/>
    <w:rsid w:val="00D77B06"/>
    <w:rsid w:val="00D93487"/>
    <w:rsid w:val="00D94600"/>
    <w:rsid w:val="00DD0D06"/>
    <w:rsid w:val="00DD31CB"/>
    <w:rsid w:val="00E3613E"/>
    <w:rsid w:val="00E931EB"/>
    <w:rsid w:val="00E965BB"/>
    <w:rsid w:val="00EE64E5"/>
    <w:rsid w:val="00F504A7"/>
    <w:rsid w:val="00F72BB2"/>
    <w:rsid w:val="00FD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9A5B"/>
  <w15:chartTrackingRefBased/>
  <w15:docId w15:val="{5B814BCC-2DAF-4BB8-A615-BDBF4BF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47B"/>
    <w:pPr>
      <w:spacing w:after="5"/>
      <w:ind w:left="294"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6D4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8B238F"/>
    <w:pPr>
      <w:keepNext/>
      <w:keepLines/>
      <w:spacing w:after="16" w:line="271" w:lineRule="auto"/>
      <w:ind w:left="10" w:right="739"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865"/>
    <w:pPr>
      <w:widowControl w:val="0"/>
      <w:autoSpaceDE w:val="0"/>
      <w:autoSpaceDN w:val="0"/>
      <w:spacing w:after="0" w:line="240" w:lineRule="auto"/>
    </w:pPr>
    <w:rPr>
      <w:rFonts w:ascii="Calibri" w:eastAsia="Times New Roman" w:hAnsi="Calibri" w:cs="Calibri"/>
      <w:b/>
      <w:szCs w:val="20"/>
      <w:lang w:eastAsia="ru-RU"/>
    </w:rPr>
  </w:style>
  <w:style w:type="character" w:styleId="a3">
    <w:name w:val="Intense Reference"/>
    <w:basedOn w:val="a0"/>
    <w:uiPriority w:val="32"/>
    <w:qFormat/>
    <w:rsid w:val="001E4FAC"/>
    <w:rPr>
      <w:rFonts w:cs="Times New Roman"/>
      <w:b/>
      <w:smallCaps/>
      <w:color w:val="ED7D31"/>
      <w:spacing w:val="5"/>
      <w:u w:val="single"/>
    </w:rPr>
  </w:style>
  <w:style w:type="character" w:customStyle="1" w:styleId="20">
    <w:name w:val="Заголовок 2 Знак"/>
    <w:basedOn w:val="a0"/>
    <w:link w:val="2"/>
    <w:uiPriority w:val="9"/>
    <w:rsid w:val="008B238F"/>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9"/>
    <w:rsid w:val="006D4599"/>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6D459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Page">
    <w:name w:val="ConsPlusTitlePage"/>
    <w:rsid w:val="006D45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5E4B0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3239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394A"/>
    <w:rPr>
      <w:rFonts w:ascii="Times New Roman" w:eastAsia="Times New Roman" w:hAnsi="Times New Roman" w:cs="Times New Roman"/>
      <w:color w:val="000000"/>
      <w:sz w:val="24"/>
      <w:lang w:eastAsia="ru-RU"/>
    </w:rPr>
  </w:style>
  <w:style w:type="paragraph" w:styleId="a6">
    <w:name w:val="footer"/>
    <w:basedOn w:val="a"/>
    <w:link w:val="a7"/>
    <w:uiPriority w:val="99"/>
    <w:unhideWhenUsed/>
    <w:rsid w:val="003239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394A"/>
    <w:rPr>
      <w:rFonts w:ascii="Times New Roman" w:eastAsia="Times New Roman" w:hAnsi="Times New Roman" w:cs="Times New Roman"/>
      <w:color w:val="000000"/>
      <w:sz w:val="24"/>
      <w:lang w:eastAsia="ru-RU"/>
    </w:rPr>
  </w:style>
  <w:style w:type="paragraph" w:styleId="a8">
    <w:name w:val="Balloon Text"/>
    <w:basedOn w:val="a"/>
    <w:link w:val="a9"/>
    <w:uiPriority w:val="99"/>
    <w:semiHidden/>
    <w:unhideWhenUsed/>
    <w:rsid w:val="002F146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F146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consultantplus://offline/ref=8B593BFBAFD10B146758AA0956D236D91F007D5750513B1D872B28012283CBC1BF0A0DDA62CB98CDI6HDN" TargetMode="External"/><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hyperlink" Target="consultantplus://offline/ref=8B593BFBAFD10B146758AA0956D236D91C0A7F5150573B1D872B28012283CBC1BF0A0DDA62CB98CAI6H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B593BFBAFD10B146758AA0956D236D91C0B755257513B1D872B28012283CBC1BF0A0DDA62CB98CAI6HFN" TargetMode="External"/><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0.wmf"/><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E05A-846B-48D4-89D0-32429346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4029</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Корнейчук Анна</dc:creator>
  <cp:keywords/>
  <dc:description/>
  <cp:lastModifiedBy>Мазин Алексей</cp:lastModifiedBy>
  <cp:revision>2</cp:revision>
  <cp:lastPrinted>2018-02-02T12:51:00Z</cp:lastPrinted>
  <dcterms:created xsi:type="dcterms:W3CDTF">2018-04-03T11:06:00Z</dcterms:created>
  <dcterms:modified xsi:type="dcterms:W3CDTF">2018-04-03T11:06:00Z</dcterms:modified>
</cp:coreProperties>
</file>